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APROL reporting with electronic signatures</w:t>
      </w:r>
    </w:p>
    <w:p>
      <w:pPr>
        <w:pStyle w:val="label-first"/>
        <w:keepNext/>
        <w:ind w:left="0"/>
      </w:pPr>
      <w:r>
        <w:rPr>
          <w:b/>
          <w:sz w:val="20"/>
        </w:rPr>
        <w:t xml:space="preserve">B&amp;R's process control system offers manipulation-proof logging</w:t>
      </w:r>
    </w:p>
    <w:p>
      <w:pPr>
        <w:pStyle w:val="par-first"/>
        <w:ind w:left="0"/>
        <w:jc w:val="left"/>
      </w:pPr>
      <w:r>
        <w:rPr>
          <w:i/>
          <w:i/>
        </w:rPr>
        <w:t xml:space="preserve">With B&amp;R's APROL process control system, all configurations, operations and modifications performed throughout the system can be seamlessly traced. Secure reporting with electronic signatures reliably prevents manipulation of signed logs and process documents. The workflow remains as intuitive and convenient as B&amp;R customers have come to expect.</w:t>
      </w:r>
    </w:p>
    <w:p>
      <w:pPr>
        <w:pStyle w:val="label"/>
        <w:keepNext/>
        <w:ind w:left="0"/>
      </w:pPr>
      <w:r>
        <w:rPr>
          <w:b/>
          <w:sz w:val="20"/>
        </w:rPr>
        <w:t xml:space="preserve">Protect signed reports against manipulation</w:t>
      </w:r>
    </w:p>
    <w:p>
      <w:pPr>
        <w:pStyle w:val="par"/>
        <w:ind w:left="0"/>
      </w:pPr>
      <w:r>
        <w:rPr/>
        <w:t xml:space="preserve">Authorized personnel sign documents using a personalized certificate, derived from a system certificate integrated in APROL. The integrated Adobe Reader verifies the signatures' authenticity. This makes it impossible to use editing software to manipulate PDF files such as those frequently generated for batch logs.</w:t>
      </w:r>
    </w:p>
    <w:p>
      <w:pPr>
        <w:pStyle w:val="label"/>
        <w:keepNext/>
        <w:ind w:left="0"/>
      </w:pPr>
      <w:r>
        <w:rPr>
          <w:b/>
          <w:sz w:val="20"/>
        </w:rPr>
        <w:t xml:space="preserve">Maximum convenience for the user </w:t>
      </w:r>
    </w:p>
    <w:p>
      <w:pPr>
        <w:pStyle w:val="par"/>
        <w:ind w:left="0"/>
      </w:pPr>
      <w:r>
        <w:rPr/>
        <w:t xml:space="preserve">Since the digital signature functionality is fully integrated in APROL, there is no need for externally generated certificates or third party software. Users enjoy seamless security against reporting manipulation with no additional costs.</w:t>
      </w:r>
    </w:p>
    <w:p/>
    <w:bookmarkStart w:id="5" w:name="_XREFN100A5"/>
    <w:bookmarkStart w:id="6" w:name="_XREFN100AA"/>
    <w:p>
      <w:pPr>
        <w:keepNext/>
        <w:spacing w:after="20" w:before="0"/>
        <w:ind w:left="0"/>
      </w:pPr>
      <w:r>
        <w:drawing>
          <wp:inline xmlns:wp="http://schemas.openxmlformats.org/drawingml/2006/wordprocessingDrawing" distB="0" distL="0" distR="0" distT="0">
            <wp:extent cx="3600000" cy="2700762"/>
            <wp:effectExtent b="0" l="0" r="0" t="0"/>
            <wp:docPr id="1" name="APROL_Repo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_Reporting"/>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Digital signatures in APROL provide seamless security against manipulation of reporting documents.</w:t>
      </w:r>
    </w:p>
    <w:bookmarkEnd w:id="6"/>
    <w:bookmarkEnd w:id="5"/>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