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Modulární automatizační řešení pro zemědělské stroje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na veletrhu Agritechnica 2013 v Hanoveru</w:t>
      </w:r>
    </w:p>
    <w:p>
      <w:pPr>
        <w:pStyle w:val="par-first"/>
        <w:ind w:left="0"/>
        <w:jc w:val="left"/>
      </w:pPr>
      <w:r>
        <w:rPr>
          <w:i/>
          <w:i/>
        </w:rPr>
        <w:t xml:space="preserve">Výrobci zemědělských strojů jsou pod stejným tlakem jako výrobci průmyslových strojů v případě zavedení automatizovaných řešení a zajištění bezpečnosti strojních zařízení. Navíc použití ve venkovním prostředí představuje pro mobilní zařízení jedinečné výzvy. Kromě představení optimálního řešení pro splnění těchto úkolů, B&amp;R vystaví své produkty pro mobilní aplikace na veletrhu Agritechnica, 12. - 16. listopadu 2013 (hala 01, stánek A219).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Účinný vývoj, rychlé uvedení do provozu</w:t>
      </w:r>
    </w:p>
    <w:p>
      <w:pPr>
        <w:pStyle w:val="par"/>
        <w:ind w:left="0"/>
      </w:pPr>
      <w:r>
        <w:rPr/>
        <w:t xml:space="preserve">B&amp;R představí své modulární systémy pro automatizaci zemědělských strojů v souladu s hlavním tématem veletrhu - "systémy a součástky" - systémy, které umožňují uvedení do provozu a ůdržbu strojů a zařízení s absolutním minimem úsilí. S pomocí jediného vývojového prostředí Automation Studio mohou vývojáři vytvářet modulární,distribuované programy pro všechny typy řízení, vizualizaci a bezpečnostní úlohy.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Nové dimenze v datové komunikaci</w:t>
      </w:r>
    </w:p>
    <w:p>
      <w:pPr>
        <w:pStyle w:val="par"/>
        <w:ind w:left="0"/>
      </w:pPr>
      <w:r>
        <w:rPr/>
        <w:t xml:space="preserve">Na stánku B&amp;R se představí také skupina Ethernet POWERLINK Standardization Group (EPSG)  jako uživatelská organizace pro komunikační protokol reálného času POWERLINK. Tento rychlý a flexibilní protokol na bázi Ethernetu poskytuje vynikající přenosovou kapacitu, pomáhá zvládat nové výzvy, jako je exponenciální nárůst přenosu dat, který vyplývá například ze zvýšeného využívání údajů získaných kamerovými systémy.</w:t>
      </w:r>
    </w:p>
    <w:p>
      <w:pPr>
        <w:pStyle w:val="par"/>
        <w:ind w:left="0"/>
      </w:pPr>
      <w:r>
        <w:rPr/>
        <w:t xml:space="preserve">POWERLINK je open source technologie a zaručuje úplnou nezávislost dodavatele. Tento standard rálného času může fungovat jako multi-master, je vhodný pro dvouvodičové připojení a zjednodušuje strukturu interoperabilních autonomních systémů.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Nejvyšší úroveň bezpečnosti pro modulární technologie</w:t>
      </w:r>
    </w:p>
    <w:p>
      <w:pPr>
        <w:pStyle w:val="par"/>
        <w:ind w:left="0"/>
      </w:pPr>
      <w:r>
        <w:rPr/>
        <w:t xml:space="preserve">Otevřený a na sběrnici nezávislý bezpečnostní protokol openSAFETY usnadňuje implementaci bezpečnostních funkcí a splňuje požadavky stanovené směrnicemi EU. Bezpečností signály vedeny prostřednictvím pravidelných komunikačních cest v síti zpřístupňují nejvyšší bezpečnostní standardy, rychlou odezvu a rozšířenou diagnostiku pro modulární architekturu systému.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Agritechnica MA170-Mod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ritechnica MA170-Modul"/>
                    <pic:cNvPicPr/>
                  </pic:nvPicPr>
                  <pic:blipFill>
                    <a:blip xmlns:r="http://schemas.openxmlformats.org/officeDocument/2006/relationships" cstate="print" r:embed="N103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představí své produkty pro mobilní aplikace na veletrhu Agritechnica (hala 01, stánek A219).</w:t>
      </w:r>
    </w:p>
    <w:bookmarkEnd w:id="8"/>
    <w:bookmarkEnd w:id="7"/>
    <w:bookmarkStart w:id="9" w:name="_XREFN1012F"/>
    <w:bookmarkStart w:id="10" w:name="_XREFN10134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2" name="Agritechnica Getr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ritechnica Getreide"/>
                    <pic:cNvPicPr/>
                  </pic:nvPicPr>
                  <pic:blipFill>
                    <a:blip xmlns:r="http://schemas.openxmlformats.org/officeDocument/2006/relationships" cstate="print" r:embed="N104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99" w:type="default"/>
      <w:footerReference xmlns:r="http://schemas.openxmlformats.org/officeDocument/2006/relationships" r:id="N1052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99" Target="header1.xml" Type="http://schemas.openxmlformats.org/officeDocument/2006/relationships/header"/><Relationship Id="N1052D" Target="footer1.xml" Type="http://schemas.openxmlformats.org/officeDocument/2006/relationships/footer"/><Relationship Id="N103D6" Target="media/N103D6.jpg" Type="http://schemas.openxmlformats.org/officeDocument/2006/relationships/image"/><Relationship Id="N10423" Target="media/N10423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0" Target="media/N1050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