
<file path=[Content_Types].xml><?xml version="1.0" encoding="utf-8"?>
<Types xmlns="http://schemas.openxmlformats.org/package/2006/content-types">
  <Default ContentType="application/vnd.openxmlformats-package.relationships+xml" Extension="rels"/>
  <Default ContentType="application/xml" Extension="xml"/>
  <Default ContentType="image/jpeg" Extension="jpg"/>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extended-properties+xml" PartName="/docProps/app.xml"/>
  <Override ContentType="application/vnd.openxmlformats-officedocument.wordprocessingml.header+xml" PartName="/word/header1.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webSettings+xml" PartName="/word/webSettings.xml"/>
</Types>
</file>

<file path=_rels/.rels><?xml version="1.0" encoding="UTF-8"?><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s>
</file>

<file path=word/document.xml><?xml version="1.0" encoding="utf-8"?>
<w:document xmlns:w="http://schemas.openxmlformats.org/wordprocessingml/2006/main">
  <w:body>
    <w:p>
      <w:pPr>
        <w:pStyle w:val="headline-content-0"/>
        <w:keepNext/>
      </w:pPr>
      <w:r>
        <w:rPr>
          <w:rStyle w:val="headline-content-run0"/>
          <w:b/>
          <w:sz w:val="24"/>
        </w:rPr>
        <w:t xml:space="preserve">Modulare Automatisierungslösungen für die Landtechnik</w:t>
      </w:r>
    </w:p>
    <w:p>
      <w:pPr>
        <w:pStyle w:val="label-first"/>
        <w:keepNext/>
        <w:ind w:left="0"/>
      </w:pPr>
      <w:r>
        <w:rPr>
          <w:b/>
          <w:sz w:val="20"/>
        </w:rPr>
        <w:t xml:space="preserve">B&amp;R präsentiert Neuheiten auf der Agritechnica 2013 in Hannover</w:t>
      </w:r>
    </w:p>
    <w:p>
      <w:pPr>
        <w:pStyle w:val="par-first"/>
        <w:ind w:left="0"/>
        <w:jc w:val="left"/>
      </w:pPr>
      <w:r>
        <w:rPr>
          <w:i/>
          <w:i/>
        </w:rPr>
        <w:t xml:space="preserve">Der Landmaschinenbau unterliegt einem ähnlichen Automatisierungsdruck wie der Industriemaschinenbau und muss gleichzeitig dieselben Anforderungen an die Sicherheit der Maschinen erfüllen. Zusätzlich stellt der Einsatz im Freien besondere Herausforderungen an die mobilen Maschinen. B&amp;R bietet für diese speziellen Ansprüche die optimalen Automatisierungslösungen und präsentiert seine komplette Palette modularer Steuerungs-, I/O- und Antriebssysteme für mobile Anwendungen vom 12. bis 16. November 2013 auf der Agritechnica in Halle 01 Stand A219.</w:t>
      </w:r>
    </w:p>
    <w:p>
      <w:pPr>
        <w:pStyle w:val="label"/>
        <w:keepNext/>
        <w:ind w:left="0"/>
      </w:pPr>
      <w:r>
        <w:rPr>
          <w:b/>
          <w:sz w:val="20"/>
        </w:rPr>
        <w:t xml:space="preserve">Effiziente Entwicklung, schnelle Installation</w:t>
      </w:r>
    </w:p>
    <w:p>
      <w:pPr>
        <w:pStyle w:val="par"/>
        <w:ind w:left="0"/>
      </w:pPr>
      <w:r>
        <w:rPr/>
        <w:t xml:space="preserve">Passend zum Ausstellungsschwerpunkt „Systems &amp; Components“ zeigt B&amp;R seine modulare Systemfamilie für die Automatisierung von landwirtschaftlichen Fahrzeugen, mit der sich Maschinen und Geräte mit minimiertem Aufwand installieren und warten lassen. Mit der Automatisierungssoftware Automation Studio von B&amp;R können Entwickler innerhalb nur einer Entwicklungsumgebung modulare, verteilte Programme schaffen für alle Aufgaben der Steuerungs-, Antriebs-, Visualisierungs- und Sicherheitstechnik.</w:t>
      </w:r>
    </w:p>
    <w:p>
      <w:pPr>
        <w:pStyle w:val="label"/>
        <w:keepNext/>
        <w:ind w:left="0"/>
      </w:pPr>
      <w:r>
        <w:rPr>
          <w:b/>
          <w:sz w:val="20"/>
        </w:rPr>
        <w:t xml:space="preserve">Neue Dimension der Datenübertragung</w:t>
      </w:r>
    </w:p>
    <w:p>
      <w:pPr>
        <w:pStyle w:val="par"/>
        <w:ind w:left="0"/>
      </w:pPr>
      <w:r>
        <w:rPr/>
        <w:t xml:space="preserve">Auf dem B&amp;R-Stand ist auch die Ethernet POWERLINK Standardization Group (EPSG) als Nutzerorganisation des Echtzeit-Kommunikationssystems POWERLINK vertreten. Das schnelle und flexible ethernetbasierte Protokoll überzeugt mit seiner überlegenen Datenübertragungskapazität und hilft anstehende Herausforderungen wie exponentiell steigende Datenmengen zu meistern; diese treten zum Beispiel infolge des zunehmenden Einsatzes von Kamerasystemen auf. </w:t>
      </w:r>
    </w:p>
    <w:p>
      <w:pPr>
        <w:pStyle w:val="par"/>
        <w:ind w:left="0"/>
      </w:pPr>
      <w:r>
        <w:rPr/>
        <w:t xml:space="preserve">POWERLINK ist als Open-Source-Technologie verfügbar und gewährleistet dadurch absolute Herstellerunabhängigkeit. Der Echtzeit-Netzwerkstandard ist multimasterfähig, eignet sich für Zweidraht-Physik und erleichtert den Aufbau interoperabler autonomer Systeme. </w:t>
      </w:r>
    </w:p>
    <w:p>
      <w:pPr>
        <w:pStyle w:val="label"/>
        <w:keepNext/>
        <w:ind w:left="0"/>
      </w:pPr>
      <w:r>
        <w:rPr>
          <w:b/>
          <w:sz w:val="20"/>
        </w:rPr>
        <w:t xml:space="preserve">Höchste Sicherheit für modulare Technik</w:t>
      </w:r>
    </w:p>
    <w:p>
      <w:pPr>
        <w:pStyle w:val="par"/>
        <w:ind w:left="0"/>
      </w:pPr>
      <w:r>
        <w:rPr/>
        <w:t xml:space="preserve">Das offene und feldbusunabhängige Sicherheitsprotokoll openSAFETY erleichtert die Implementierung von Sicherheitsvorkehrungen und trägt somit dazu bei, die Anforderungen der EU-Maschinenrichtlinie zu erfüllen. Seine sicherheitsrelevanten Signale durchtunneln die reguläre Kommunikation im Netzwerk. Dadurch entfällt eine eigene Verdrahtung. Das gestattet die Implementierung höchster Safety-Standards mit schneller Reaktion und erweiterter Diagnosemöglichkeiten auch in modularen Systemarchitekturen.</w:t>
      </w:r>
    </w:p>
    <w:p/>
    <w:bookmarkStart w:id="7" w:name="_XREFN1009B"/>
    <w:bookmarkStart w:id="8" w:name="_XREFN100A0"/>
    <w:p>
      <w:pPr>
        <w:keepNext/>
        <w:spacing w:after="20" w:before="0"/>
        <w:ind w:left="0"/>
      </w:pPr>
      <w:r>
        <w:drawing>
          <wp:inline xmlns:wp="http://schemas.openxmlformats.org/drawingml/2006/wordprocessingDrawing" distB="0" distL="0" distR="0" distT="0">
            <wp:extent cx="3600000" cy="2700762"/>
            <wp:effectExtent b="0" l="0" r="0" t="0"/>
            <wp:docPr id="1" name="Agritechnica MA170-Modu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gritechnica MA170-Modul"/>
                    <pic:cNvPicPr/>
                  </pic:nvPicPr>
                  <pic:blipFill>
                    <a:blip xmlns:r="http://schemas.openxmlformats.org/officeDocument/2006/relationships" cstate="print" r:embed="N103D6"/>
                    <a:stretch>
                      <a:fillRect/>
                    </a:stretch>
                  </pic:blipFill>
                  <pic:spPr>
                    <a:xfrm>
                      <a:off x="0" y="0"/>
                      <a:ext cx="3600000" cy="2700762"/>
                    </a:xfrm>
                    <a:prstGeom prst="rect">
                      <a:avLst/>
                    </a:prstGeom>
                  </pic:spPr>
                </pic:pic>
              </a:graphicData>
            </a:graphic>
          </wp:inline>
        </w:drawing>
      </w:r>
    </w:p>
    <w:p>
      <w:pPr>
        <w:pStyle w:val="media-caption"/>
        <w:ind w:left="0"/>
      </w:pPr>
      <w:r>
        <w:t xml:space="preserve">B&amp;R zeigt auf der Agritechnica in Halle 01 Stand A219 seine komplette Palette modularer Steuerungs-, I/O- und Antriebssysteme für mobile Anwendungen.</w:t>
      </w:r>
    </w:p>
    <w:bookmarkEnd w:id="8"/>
    <w:bookmarkEnd w:id="7"/>
    <w:bookmarkStart w:id="9" w:name="_XREFN1012F"/>
    <w:bookmarkStart w:id="10" w:name="_XREFN10134"/>
    <w:p>
      <w:pPr>
        <w:spacing w:after="200" w:before="0"/>
        <w:ind w:left="0"/>
      </w:pPr>
      <w:r>
        <w:drawing>
          <wp:inline xmlns:wp="http://schemas.openxmlformats.org/drawingml/2006/wordprocessingDrawing" distB="0" distL="0" distR="0" distT="0">
            <wp:extent cx="3600000" cy="2700762"/>
            <wp:effectExtent b="0" l="0" r="0" t="0"/>
            <wp:docPr id="2" name="Agritechnica Getre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gritechnica Getreide"/>
                    <pic:cNvPicPr/>
                  </pic:nvPicPr>
                  <pic:blipFill>
                    <a:blip xmlns:r="http://schemas.openxmlformats.org/officeDocument/2006/relationships" cstate="print" r:embed="N10424"/>
                    <a:stretch>
                      <a:fillRect/>
                    </a:stretch>
                  </pic:blipFill>
                  <pic:spPr>
                    <a:xfrm>
                      <a:off x="0" y="0"/>
                      <a:ext cx="3600000" cy="2700762"/>
                    </a:xfrm>
                    <a:prstGeom prst="rect">
                      <a:avLst/>
                    </a:prstGeom>
                  </pic:spPr>
                </pic:pic>
              </a:graphicData>
            </a:graphic>
          </wp:inline>
        </w:drawing>
      </w:r>
    </w:p>
    <w:bookmarkEnd w:id="10"/>
    <w:bookmarkEnd w:id="9"/>
    <w:p/>
    <w:p/>
    <w:p/>
    <w:p>
      <w:pPr>
        <w:pStyle w:val="headline-content-1"/>
        <w:keepNext/>
      </w:pPr>
      <w:r>
        <w:rPr>
          <w:rStyle w:val="headline-content-run1"/>
          <w:sz w:val="16"/>
        </w:rPr>
        <w:t xml:space="preserve">Über B&amp;R</w:t>
      </w:r>
    </w:p>
    <w:p>
      <w:pPr>
        <w:pStyle w:val="par"/>
        <w:ind w:left="0"/>
      </w:pPr>
      <w:r>
        <w:rPr>
          <w:sz w:val="16"/>
        </w:rPr>
        <w:t xml:space="preserve">B&amp;R, eine Division des ABB-Konzerns, ist ein weltweit führendes Unternehmen der industriellen Automatisierung mit Hauptsitz in Österreich. Als Branchenführer kombiniert B&amp;R modernste Technologien mit fortschrittlichem Engineering. B&amp;R bietet Kunden aus den unterschiedlichsten Branchen perfekte Gesamtlösungen in den Bereichen Maschinen- und Fabrikautomatisierung, Antriebs- und Steuerungstechnik, Visualisierung und integrierte Sicherheitstechnik. Lösungen für die Kommunikation im Industrial IoT - allen voran OPC UA, POWERLINK und der offene Standard openSAFETY - runden das Leistungsportfolio von B&amp;R ab. Die Software-Entwicklungsumgebung Automation Studio ist wegweisend für zukunftsorientiertes Engineering. Mit innovativen Lösungen setzt B&amp;R neue Standards in der Automatisierungswelt, hilft Prozesse zu vereinfachen und übertrifft Kundenerwartungen. </w:t>
      </w:r>
    </w:p>
    <w:p>
      <w:pPr>
        <w:pStyle w:val="par"/>
        <w:ind w:left="0"/>
      </w:pPr>
      <w:r>
        <w:rPr>
          <w:sz w:val="16"/>
        </w:rPr>
        <w:t xml:space="preserve">Weitere Informationen finden Sie unter www.br-automation.com</w:t>
      </w:r>
    </w:p>
    <w:sectPr>
      <w:headerReference xmlns:r="http://schemas.openxmlformats.org/officeDocument/2006/relationships" r:id="N1049B" w:type="default"/>
      <w:footerReference xmlns:r="http://schemas.openxmlformats.org/officeDocument/2006/relationships" r:id="N1052F" w:type="default"/>
      <w:type w:val="continuous"/>
      <w:pgSz w:code="9" w:h="16839" w:w="11907"/>
      <w:pgMar w:bottom="1984" w:footer="567" w:header="567" w:left="1134" w:right="1134" w:top="2268"/>
    </w:sectPr>
  </w:body>
</w:document>
</file>

<file path=word/footer1.xml><?xml version="1.0" encoding="utf-8"?>
<w:ftr xmlns:w="http://schemas.openxmlformats.org/wordprocessingml/2006/main">
  <w:tbl>
    <w:tblPr>
      <w:tblW w:type="dxa" w:w="9638"/>
      <w:tblInd w:type="dxa" w:w="0"/>
      <w:tblLayout w:type="fixed"/>
    </w:tblPr>
    <w:tblGrid>
      <w:gridCol w:w="4819"/>
      <w:gridCol w:w="4819"/>
    </w:tblGrid>
    <w:tr>
      <w:trPr>
        <w:trHeight w:hRule="exact" w:val="1417"/>
      </w:trPr>
      <w:tc>
        <w:tcPr>
          <w:tcW w:type="dxa" w:w="4819"/>
          <w:tcMar>
            <w:top w:type="dxa" w:w="226"/>
            <w:left w:type="dxa" w:w="0"/>
            <w:right w:type="dxa" w:w="0"/>
          </w:tcMar>
          <w:vAlign w:val="top"/>
        </w:tcPr>
        <w:p>
          <w:pPr>
            <w:pStyle w:val="footer"/>
            <w:ind w:left="0"/>
            <w:jc w:val="left"/>
          </w:pPr>
          <w:r>
            <w:rPr>
              <w:sz w:val="14"/>
            </w:rPr>
            <w:t>Pressekontakt</w:t>
          </w:r>
          <w:r>
            <w:rPr>
              <w:sz w:val="14"/>
            </w:rPr>
            <w:t xml:space="preserve">:</w:t>
          </w:r>
          <w:r>
            <w:br w:type="textWrapping"/>
          </w:r>
          <w:r>
            <w:br w:type="textWrapping"/>
          </w:r>
          <w:r>
            <w:br w:type="textWrapping"/>
          </w:r>
          <w:r>
            <w:rPr>
              <w:sz w:val="14"/>
            </w:rPr>
            <w:t xml:space="preserve">press@br-automation.com</w:t>
          </w:r>
          <w:r>
            <w:br w:type="textWrapping"/>
          </w:r>
          <w:r>
            <w:br w:type="textWrapping"/>
          </w:r>
        </w:p>
      </w:tc>
      <w:tc>
        <w:tcPr>
          <w:tcW w:type="dxa" w:w="4819"/>
          <w:tcMar>
            <w:top w:type="dxa" w:w="226"/>
            <w:left w:type="dxa" w:w="0"/>
            <w:right w:type="dxa" w:w="0"/>
          </w:tcMar>
          <w:vAlign w:val="top"/>
        </w:tcPr>
        <w:p>
          <w:pPr>
            <w:pStyle w:val="footer"/>
            <w:spacing w:after="0"/>
            <w:ind w:left="0"/>
            <w:jc w:val="right"/>
          </w:pPr>
          <w:r>
            <w:br w:type="textWrapping"/>
          </w:r>
          <w:r>
            <w:rPr>
              <w:sz w:val="14"/>
            </w:rPr>
            <w:t>Seite</w:t>
          </w:r>
          <w:r>
            <w:rPr>
              <w:rFonts w:ascii="Arial" w:hAnsi="Arial"/>
            </w:rPr>
            <w:t> </w:t>
          </w:r>
          <w:r>
            <w:rPr>
              <w:b/>
              <w:sz w:val="14"/>
            </w:rPr>
            <w:fldChar w:fldCharType="begin"/>
            <w:instrText xml:space="preserve"> PAGE \* Arabic </w:instrText>
            <w:fldChar w:fldCharType="end"/>
          </w:r>
          <w:r>
            <w:rPr>
              <w:b/>
              <w:sz w:val="14"/>
            </w:rPr>
            <w:t xml:space="preserve">/</w:t>
          </w:r>
          <w:r>
            <w:rPr>
              <w:b/>
              <w:sz w:val="14"/>
            </w:rPr>
            <w:fldChar w:fldCharType="begin"/>
            <w:instrText xml:space="preserve"> NUMPAGES   \* MERGEFORMAT </w:instrText>
            <w:fldChar w:fldCharType="end"/>
          </w:r>
        </w:p>
      </w:tc>
    </w:tr>
  </w:tbl>
</w:ftr>
</file>

<file path=word/footnotes.xml><?xml version="1.0" encoding="utf-8"?>
<w:footnotes xmlns:w="http://schemas.openxmlformats.org/wordprocessingml/2006/main"/>
</file>

<file path=word/header1.xml><?xml version="1.0" encoding="utf-8"?>
<w:hdr xmlns:w="http://schemas.openxmlformats.org/wordprocessingml/2006/main">
  <w:tbl>
    <w:tblPr>
      <w:tblW w:type="dxa" w:w="9638"/>
      <w:tblInd w:type="dxa" w:w="0"/>
      <w:tblLayout w:type="fixed"/>
    </w:tblPr>
    <w:tblGrid>
      <w:gridCol w:w="5783"/>
      <w:gridCol w:w="3855"/>
    </w:tblGrid>
    <w:tr>
      <w:trPr/>
      <w:tc>
        <w:tcPr>
          <w:tcW w:type="dxa" w:w="5783"/>
          <w:shd w:fill="FFFFFF" w:val="clear"/>
          <w:tcMar>
            <w:top w:type="dxa" w:w="226"/>
            <w:left w:type="dxa" w:w="0"/>
            <w:bottom w:type="dxa" w:w="226"/>
            <w:right w:type="dxa" w:w="0"/>
          </w:tcMar>
          <w:vAlign w:val="bottom"/>
        </w:tcPr>
        <w:p>
          <w:pPr>
            <w:pStyle w:val="header"/>
            <w:spacing w:after="0"/>
            <w:ind w:left="0"/>
            <w:jc w:val="left"/>
          </w:pPr>
          <w:r>
            <w:rPr>
              <w:b/>
              <w:color w:val="000000"/>
              <w:sz w:val="32"/>
            </w:rPr>
            <w:t>Pressemitteilung</w:t>
          </w:r>
        </w:p>
      </w:tc>
      <w:tc>
        <w:tcPr>
          <w:tcW w:type="dxa" w:w="3855"/>
          <w:shd w:fill="FFFFFF" w:val="clear"/>
          <w:tcMar>
            <w:top w:type="dxa" w:w="226"/>
            <w:left w:type="dxa" w:w="0"/>
            <w:bottom w:type="dxa" w:w="226"/>
            <w:right w:type="dxa" w:w="0"/>
          </w:tcMar>
          <w:vAlign w:val="bottom"/>
        </w:tcPr>
        <w:p>
          <w:pPr>
            <w:pStyle w:val="header-logo"/>
            <w:spacing w:after="0"/>
            <w:ind w:left="0"/>
            <w:jc w:val="right"/>
          </w:pPr>
          <w:r>
            <w:drawing>
              <wp:inline xmlns:wp="http://schemas.openxmlformats.org/drawingml/2006/wordprocessingDrawing" distB="0" distL="0" distR="0" distT="0">
                <wp:extent cx="1505712" cy="518160"/>
                <wp:effectExtent b="0" l="0" r="0" t="0"/>
                <wp:docPr id="3" name="logo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 2022"/>
                        <pic:cNvPicPr/>
                      </pic:nvPicPr>
                      <pic:blipFill>
                        <a:blip xmlns:r="http://schemas.openxmlformats.org/officeDocument/2006/relationships" cstate="print" r:embed="N10502"/>
                        <a:stretch>
                          <a:fillRect/>
                        </a:stretch>
                      </pic:blipFill>
                      <pic:spPr>
                        <a:xfrm>
                          <a:off x="0" y="0"/>
                          <a:ext cx="1505712" cy="518160"/>
                        </a:xfrm>
                        <a:prstGeom prst="rect">
                          <a:avLst/>
                        </a:prstGeom>
                      </pic:spPr>
                    </pic:pic>
                  </a:graphicData>
                </a:graphic>
              </wp:inline>
            </w:drawing>
          </w:r>
        </w:p>
      </w:tc>
    </w:tr>
  </w:tbl>
</w:hdr>
</file>

<file path=word/numbering.xml><?xml version="1.0" encoding="utf-8"?>
<w:numbering xmlns:w="http://schemas.openxmlformats.org/wordprocessingml/2006/main">
  <w:abstractNum w:abstractNumId="2">
    <w:nsid w:val="0E6454FE"/>
    <w:multiLevelType w:val="multilevel"/>
    <w:tmpl w:val="D386552E"/>
    <w:lvl w:ilvl="0">
      <w:start w:val="1"/>
      <w:pStyle w:val="headline-content-1"/>
      <w:suff w:val="tab"/>
      <w:lvlText w:val="%1"/>
      <w:lvlJc w:val="left"/>
      <w:pPr>
        <w:tabs>
          <w:tab w:pos="1417.5" w:val="num"/>
        </w:tabs>
        <w:ind w:hanging="1417.5" w:left="1417.5"/>
      </w:pPr>
    </w:lvl>
    <w:lvl w:ilvl="1">
      <w:start w:val="1"/>
      <w:suff w:val="tab"/>
      <w:lvlText w:val="%1.%2"/>
      <w:lvlJc w:val="left"/>
      <w:pPr>
        <w:tabs>
          <w:tab w:pos="1417.5" w:val="num"/>
        </w:tabs>
        <w:ind w:hanging="1417.5" w:left="1417.5"/>
      </w:pPr>
    </w:lvl>
    <w:lvl w:ilvl="2">
      <w:start w:val="1"/>
      <w:suff w:val="tab"/>
      <w:lvlText w:val="%1.%2.%3"/>
      <w:lvlJc w:val="left"/>
      <w:pPr>
        <w:tabs>
          <w:tab w:pos="1417.5" w:val="num"/>
        </w:tabs>
        <w:ind w:hanging="1417.5" w:left="1417.5"/>
      </w:pPr>
    </w:lvl>
    <w:lvl w:ilvl="3">
      <w:start w:val="1"/>
      <w:suff w:val="tab"/>
      <w:lvlText w:val="%1.%2.%3.%4"/>
      <w:lvlJc w:val="left"/>
      <w:pPr>
        <w:tabs>
          <w:tab w:pos="1417.5" w:val="num"/>
        </w:tabs>
        <w:ind w:hanging="1417.5" w:left="1417.5"/>
      </w:pPr>
    </w:lvl>
    <w:lvl w:ilvl="4">
      <w:start w:val="1"/>
      <w:suff w:val="tab"/>
      <w:lvlText w:val="%1.%2.%3.%4.%5"/>
      <w:lvlJc w:val="left"/>
      <w:pPr>
        <w:tabs>
          <w:tab w:pos="1417.5" w:val="num"/>
        </w:tabs>
        <w:ind w:hanging="1417.5" w:left="1417.5"/>
      </w:pPr>
    </w:lvl>
    <w:lvl w:ilvl="5">
      <w:start w:val="1"/>
      <w:suff w:val="tab"/>
      <w:lvlText w:val="%1.%2.%3.%4.%5.%6"/>
      <w:lvlJc w:val="left"/>
      <w:pPr>
        <w:tabs>
          <w:tab w:pos="1417.5" w:val="num"/>
        </w:tabs>
        <w:ind w:hanging="1417.5" w:left="1417.5"/>
      </w:pPr>
    </w:lvl>
    <w:lvl w:ilvl="6">
      <w:start w:val="1"/>
      <w:suff w:val="tab"/>
      <w:lvlText w:val="%1.%2.%3.%4.%5.%6.%7"/>
      <w:lvlJc w:val="left"/>
      <w:pPr>
        <w:tabs>
          <w:tab w:pos="1417.5" w:val="num"/>
        </w:tabs>
        <w:ind w:hanging="1417.5" w:left="1417.5"/>
      </w:pPr>
    </w:lvl>
    <w:lvl w:ilvl="7">
      <w:start w:val="1"/>
      <w:suff w:val="tab"/>
      <w:lvlText w:val="%1.%2.%3.%4.%5.%6.%7.%8"/>
      <w:lvlJc w:val="left"/>
      <w:pPr>
        <w:tabs>
          <w:tab w:pos="1417.5" w:val="num"/>
        </w:tabs>
        <w:ind w:hanging="1417.5" w:left="1417.5"/>
      </w:pPr>
    </w:lvl>
  </w:abstractNum>
  <w:abstractNum w:abstractNumId="6">
    <w:multiLevelType w:val="hybridMultilevel"/>
    <w:lvl w:ilvl="0" w:tplc="CB7E2DBC">
      <w:start w:val="1"/>
      <w:numFmt w:val="bullet"/>
      <w:lvlText w:val="►"/>
      <w:lvlJc w:val="left"/>
      <w:pPr>
        <w:ind w:hanging="360" w:left="720"/>
      </w:pPr>
      <w:rPr>
        <w:rFonts w:ascii="Arial" w:eastAsia="AR PL KaitiM Big5" w:hAnsi="Arial" w:hint="default"/>
        <w:color w:val="97AA61"/>
        <w:sz w:val="16"/>
      </w:rPr>
    </w:lvl>
  </w:abstractNum>
  <w:num w:numId="3">
    <w:abstractNumId w:val="2"/>
  </w:num>
  <w:num w:numId="7">
    <w:abstractNumId w:val="6"/>
  </w:num>
  <w:numIdMacAtCleanup w:val="12"/>
</w:numbering>
</file>

<file path=word/settings.xml><?xml version="1.0" encoding="utf-8"?>
<w:settings xmlns:w="http://schemas.openxmlformats.org/wordprocessingml/2006/main">
  <w:view w:val="print"/>
  <w:zoom w:percent="100"/>
  <w:embedSystemFonts w:val="off"/>
  <w:defaultTabStop w:val="708"/>
  <w:autoHyphenation/>
  <w:hyphenationZone w:val="425"/>
  <w:noPunctuationKerning w:val="on"/>
  <w:characterSpacingControl w:val="doNotCompress"/>
  <w:ignoreMixedContent w:val="off"/>
  <w:alwaysShowPlaceholderText w:val="off"/>
  <w:compat>
    <w:suppressTopSpacing w:val="on"/>
    <w:suppressSpBfAfterPgBrk w:val="on"/>
    <w:doNotBreakWrappedTables w:val="off"/>
    <w:doNotSnapToGridInCell w:val="off"/>
    <w:doNotWrapTextWithPunct w:val="off"/>
    <w:doNotUseEastAsianBreakRules w:val="off"/>
    <w:growAutofit w:val="off"/>
  </w:compat>
</w:settings>
</file>

<file path=word/styles.xml><?xml version="1.0" encoding="utf-8"?>
<w:styles xmlns:w="http://schemas.openxmlformats.org/wordprocessingml/2006/main">
  <w:docDefaults>
    <w:rPrDefault>
      <w:rPr/>
    </w:rPrDefault>
    <w:pPrDefault>
      <w:pPr/>
    </w:pPrDefault>
  </w:docDefaults>
  <w:style w:default="on" w:styleId="default" w:type="paragraph">
    <w:name w:val="default"/>
    <w:pPr>
      <w:jc w:val="left"/>
    </w:pPr>
    <w:rPr>
      <w:rFonts w:ascii="Arial" w:hAnsi="Arial"/>
      <w:sz w:val="20"/>
    </w:rPr>
  </w:style>
  <w:style w:styleId="container-block" w:type="paragraph">
    <w:name w:val="container-block"/>
    <w:basedOn w:val="default"/>
    <w:pPr>
      <w:spacing w:after="200"/>
      <w:jc w:val="left"/>
    </w:pPr>
  </w:style>
  <w:style w:styleId="header" w:type="paragraph">
    <w:name w:val="header"/>
    <w:basedOn w:val="default"/>
    <w:pPr>
      <w:shd w:fill="FFFFFF" w:val="clear"/>
      <w:jc w:val="left"/>
    </w:pPr>
    <w:rPr>
      <w:b/>
      <w:color w:val="000000"/>
      <w:sz w:val="32"/>
    </w:rPr>
  </w:style>
  <w:style w:styleId="header-logo" w:type="paragraph">
    <w:name w:val="header-logo"/>
    <w:basedOn w:val="default"/>
    <w:pPr>
      <w:shd w:fill="FFFFFF" w:val="clear"/>
    </w:pPr>
    <w:rPr>
      <w:b/>
      <w:caps/>
      <w:color w:val="FFFFFF"/>
      <w:sz w:val="32"/>
    </w:rPr>
  </w:style>
  <w:style w:styleId="table-cell" w:type="paragraph">
    <w:name w:val="table-cell"/>
    <w:basedOn w:val="default"/>
    <w:pPr/>
  </w:style>
  <w:style w:styleId="footer" w:type="paragraph">
    <w:name w:val="footer"/>
    <w:basedOn w:val="default"/>
    <w:pPr>
      <w:jc w:val="left"/>
    </w:pPr>
    <w:rPr>
      <w:sz w:val="14"/>
    </w:rPr>
  </w:style>
  <w:style w:styleId="headline-content" w:type="paragraph">
    <w:name w:val="headline-content"/>
    <w:basedOn w:val="default"/>
    <w:pPr>
      <w:keepNext/>
      <w:spacing w:after="260" w:before="240"/>
      <w:jc w:val="left"/>
    </w:pPr>
    <w:rPr>
      <w:sz w:val="24"/>
    </w:rPr>
  </w:style>
  <w:style w:styleId="headline-content-0" w:type="paragraph">
    <w:name w:val="headline-content-0"/>
    <w:basedOn w:val="headline-content"/>
    <w:next w:val="par"/>
    <w:pPr>
      <w:keepNext/>
      <w:spacing w:after="0" w:before="240"/>
      <w:jc w:val="left"/>
    </w:pPr>
    <w:rPr>
      <w:b/>
    </w:rPr>
  </w:style>
  <w:style w:styleId="headline-content-0-hidden" w:type="paragraph">
    <w:basedOn w:val="headline-content-0"/>
  </w:style>
  <w:style w:styleId="headline-content-1" w:type="paragraph">
    <w:name w:val="headline-content-1"/>
    <w:basedOn w:val="headline-content"/>
    <w:next w:val="par"/>
    <w:pPr>
      <w:spacing w:after="0"/>
      <w:jc w:val="left"/>
      <w:outlineLvl w:val="0"/>
    </w:pPr>
    <w:rPr>
      <w:sz w:val="16"/>
    </w:rPr>
  </w:style>
  <w:style w:styleId="headline-content-1-hidden" w:type="paragraph">
    <w:basedOn w:val="headline-content-1"/>
  </w:style>
  <w:style w:styleId="label-first" w:type="paragraph">
    <w:name w:val="label-first"/>
    <w:basedOn w:val="default"/>
    <w:pPr>
      <w:spacing w:after="200"/>
    </w:pPr>
    <w:rPr>
      <w:b/>
      <w:sz w:val="20"/>
    </w:rPr>
  </w:style>
  <w:style w:styleId="label" w:type="paragraph">
    <w:name w:val="label"/>
    <w:basedOn w:val="default"/>
    <w:pPr>
      <w:suppressAutoHyphens w:val="on"/>
      <w:spacing w:before="200"/>
      <w:jc w:val="left"/>
    </w:pPr>
    <w:rPr>
      <w:b/>
      <w:sz w:val="20"/>
    </w:rPr>
  </w:style>
  <w:style w:styleId="par" w:type="paragraph">
    <w:name w:val="par"/>
    <w:basedOn w:val="default"/>
    <w:pPr>
      <w:suppressAutoHyphens w:val="on"/>
      <w:spacing w:after="200"/>
      <w:jc w:val="left"/>
    </w:pPr>
    <w:rPr/>
  </w:style>
  <w:style w:styleId="par-first" w:type="paragraph">
    <w:name w:val="par-first"/>
    <w:basedOn w:val="default"/>
    <w:pPr>
      <w:suppressAutoHyphens w:val="on"/>
      <w:spacing w:after="200"/>
      <w:jc w:val="left"/>
    </w:pPr>
    <w:rPr>
      <w:i/>
    </w:rPr>
  </w:style>
  <w:style w:styleId="media" w:type="paragraph">
    <w:name w:val="media"/>
    <w:basedOn w:val="default"/>
    <w:pPr>
      <w:ind w:right="3969"/>
    </w:pPr>
  </w:style>
  <w:style w:styleId="media-caption" w:type="paragraph">
    <w:name w:val="media-caption"/>
    <w:basedOn w:val="default"/>
    <w:pPr>
      <w:spacing w:before="120"/>
    </w:pPr>
    <w:rPr>
      <w:sz w:val="18"/>
    </w:rPr>
  </w:style>
  <w:style w:styleId="PageMargins" w:type="paragraph">
    <w:name w:val="PageMargins"/>
    <w:basedOn w:val="default"/>
    <w:pPr/>
  </w:style>
  <w:style w:styleId="Heading0" w:type="paragraph">
    <w:name w:val="Heading 0"/>
    <w:basedOn w:val="headline-content-0"/>
  </w:style>
  <w:style w:styleId="Heading1" w:type="paragraph">
    <w:name w:val="Heading 1"/>
    <w:basedOn w:val="headline-content-1"/>
  </w:style>
  <w:style w:styleId="Heading2" w:type="paragraph">
    <w:name w:val="Heading 2"/>
    <w:basedOn w:val="headline-content-2"/>
  </w:style>
  <w:style w:styleId="Heading3" w:type="paragraph">
    <w:name w:val="Heading 3"/>
    <w:basedOn w:val="headline-content-3"/>
  </w:style>
  <w:style w:styleId="Heading4" w:type="paragraph">
    <w:name w:val="Heading 4"/>
    <w:basedOn w:val="headline-content-4"/>
  </w:style>
  <w:style w:styleId="Heading5" w:type="paragraph">
    <w:name w:val="Heading 5"/>
    <w:basedOn w:val="headline-content-5"/>
  </w:style>
  <w:style w:styleId="Heading6" w:type="paragraph">
    <w:name w:val="Heading 6"/>
    <w:basedOn w:val="headline-content-6"/>
  </w:style>
  <w:style w:styleId="Heading7" w:type="paragraph">
    <w:name w:val="Heading 7"/>
    <w:basedOn w:val="headline-content-7"/>
  </w:style>
  <w:style w:styleId="headline-content-run0" w:type="character">
    <w:name w:val="headline-content-run 0"/>
  </w:style>
  <w:style w:styleId="headline-content-run1" w:type="character">
    <w:name w:val="headline-content-run 1"/>
  </w:style>
  <w:style w:styleId="headline-content-run2" w:type="character">
    <w:name w:val="headline-content-run 2"/>
  </w:style>
  <w:style w:styleId="headline-content-run3" w:type="character">
    <w:name w:val="headline-content-run 3"/>
  </w:style>
  <w:style w:styleId="headline-content-run4" w:type="character">
    <w:name w:val="headline-content-run 4"/>
  </w:style>
  <w:style w:styleId="headline-content-run5" w:type="character">
    <w:name w:val="headline-content-run 5"/>
  </w:style>
  <w:style w:styleId="headline-content-run6" w:type="character">
    <w:name w:val="headline-content-run 6"/>
  </w:style>
  <w:style w:styleId="headline-content-run7" w:type="character">
    <w:name w:val="headline-content-run 7"/>
  </w:style>
  <w:style w:styleId="TOC1" w:type="paragraph">
    <w:name w:val="toc 1"/>
    <w:basedOn w:val="default"/>
    <w:semiHidden/>
    <w:pPr>
      <w:tabs>
        <w:tab w:leader="dot" w:pos="9639" w:val="right"/>
      </w:tabs>
      <w:spacing w:after="0" w:before="0"/>
      <w:ind w:hanging="0" w:left="0"/>
    </w:pPr>
  </w:style>
  <w:style w:styleId="TOC2" w:type="paragraph">
    <w:name w:val="toc 2"/>
    <w:basedOn w:val="default"/>
    <w:semiHidden/>
    <w:pPr>
      <w:tabs>
        <w:tab w:pos="340.20000000000005" w:val="left"/>
        <w:tab w:leader="dot" w:pos="9639" w:val="right"/>
      </w:tabs>
      <w:spacing w:after="0" w:before="0"/>
      <w:ind w:hanging="340.20000000000005" w:left="340.20000000000005"/>
    </w:pPr>
  </w:style>
  <w:style w:styleId="TOC3" w:type="paragraph">
    <w:name w:val="toc 3"/>
    <w:basedOn w:val="default"/>
    <w:semiHidden/>
    <w:pPr>
      <w:tabs>
        <w:tab w:pos="340.20000000000005" w:val="left"/>
        <w:tab w:leader="dot" w:pos="9639" w:val="right"/>
      </w:tabs>
      <w:spacing w:after="0" w:before="0"/>
      <w:ind w:hanging="340.20000000000005" w:left="340.20000000000005"/>
    </w:pPr>
  </w:style>
  <w:style w:styleId="TOC4" w:type="paragraph">
    <w:name w:val="toc 4"/>
    <w:basedOn w:val="default"/>
    <w:semiHidden/>
    <w:pPr>
      <w:tabs>
        <w:tab w:pos="340.20000000000005" w:val="left"/>
        <w:tab w:leader="dot" w:pos="9639" w:val="right"/>
      </w:tabs>
      <w:spacing w:after="0" w:before="0"/>
      <w:ind w:hanging="340.20000000000005" w:left="340.20000000000005"/>
    </w:pPr>
  </w:style>
  <w:style w:styleId="TOC5" w:type="paragraph">
    <w:name w:val="toc 5"/>
    <w:basedOn w:val="default"/>
    <w:semiHidden/>
    <w:pPr>
      <w:tabs>
        <w:tab w:pos="340.20000000000005" w:val="left"/>
        <w:tab w:leader="dot" w:pos="9639" w:val="right"/>
      </w:tabs>
      <w:spacing w:after="0" w:before="0"/>
      <w:ind w:hanging="340.20000000000005" w:left="340.20000000000005"/>
    </w:pPr>
  </w:style>
  <w:style w:styleId="IndexHeading" w:type="paragraph">
    <w:name w:val="index heading"/>
    <w:basedOn w:val="default"/>
  </w:style>
  <w:style w:styleId="Index1" w:type="paragraph">
    <w:name w:val="index 1"/>
    <w:basedOn w:val="default"/>
  </w:style>
  <w:style w:styleId="Index2" w:type="paragraph">
    <w:name w:val="index 2"/>
    <w:basedOn w:val="default"/>
    <w:pPr>
      <w:ind w:hanging="200" w:left="480"/>
    </w:pPr>
  </w:style>
  <w:style w:styleId="TableofFigures" w:type="paragraph">
    <w:name w:val="table of figures"/>
    <w:basedOn w:val="default"/>
  </w:style>
  <w:style w:styleId="FootnoteReference" w:type="character">
    <w:name w:val="footnote reference"/>
    <w:rPr>
      <w:vertAlign w:val="superscript"/>
    </w:rPr>
  </w:style>
</w:styles>
</file>

<file path=word/webSettings.xml><?xml version="1.0" encoding="utf-8"?>
<w:webSettings xmlns:w="http://schemas.openxmlformats.org/wordprocessingml/2006/main">
  <w:optimizeForBrowser/>
</w:webSettings>
</file>

<file path=word/_rels/document.xml.rels><?xml version="1.0" encoding="UTF-8"?><Relationships xmlns="http://schemas.openxmlformats.org/package/2006/relationships"><Relationship Id="rId1" Target="styles.xml" Type="http://schemas.openxmlformats.org/officeDocument/2006/relationships/styles"/><Relationship Id="N1049B" Target="header1.xml" Type="http://schemas.openxmlformats.org/officeDocument/2006/relationships/header"/><Relationship Id="N1052F" Target="footer1.xml" Type="http://schemas.openxmlformats.org/officeDocument/2006/relationships/footer"/><Relationship Id="N103D6" Target="media/N103D6.jpg" Type="http://schemas.openxmlformats.org/officeDocument/2006/relationships/image"/><Relationship Id="N10424" Target="media/N10424.jpg" Type="http://schemas.openxmlformats.org/officeDocument/2006/relationships/image"/><Relationship Id="rId5" Target="footnotes.xml" Type="http://schemas.openxmlformats.org/officeDocument/2006/relationships/footnotes"/><Relationship Id="rId6" Target="numbering.xml" Type="http://schemas.openxmlformats.org/officeDocument/2006/relationships/numbering"/><Relationship Id="rId7" Target="settings.xml" Type="http://schemas.openxmlformats.org/officeDocument/2006/relationships/settings"/><Relationship Id="rId8" Target="webSettings.xml" Type="http://schemas.openxmlformats.org/officeDocument/2006/relationships/webSettings"/></Relationships>
</file>

<file path=word/_rels/footer1.xml.rels><?xml version="1.0" encoding="UTF-8"?><Relationships xmlns="http://schemas.openxmlformats.org/package/2006/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N10502" Target="media/N10502.jpg" Type="http://schemas.openxmlformats.org/officeDocument/2006/relationships/image"/></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dc:title/>
  <dc:creator>Smart Media Creator</dc:creator>
  <cp:lastModifiedBy>Smart Media Creator</cp:lastModifiedBy>
  <cp:revision>1</cp:revision>
</cp:coreProperties>
</file>