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Modułowe systemy automatyzacji dla maszyn rolniczych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Nowości firmy B&amp;R na targach Agritechnica 2013 w Hanowerze.</w:t>
      </w:r>
    </w:p>
    <w:p>
      <w:pPr>
        <w:pStyle w:val="par-first"/>
        <w:ind w:left="0"/>
        <w:jc w:val="left"/>
      </w:pPr>
      <w:r>
        <w:rPr>
          <w:i/>
          <w:i/>
        </w:rPr>
        <w:t xml:space="preserve">Producenci maszyn rolniczych znajdują się pod taką samą presją, co producenci maszyn przemysłowych jeśli chodzi o konieczność stosowania roziwżań automatyzacji i zagwarantowania bezpieczeństwa maszyn. Co więcej, wykorzystywanie maszyn w zewnętrznych warunkach stawia przed maszynami mobilnymi szczególne wymagania. Poza przedstawieniem optymalnych rozwiązań dla sprostania tym wymaganiom, B&amp;R zaprezentuje pełną ofertę  modułowych sterowników, modułów wejść/wyjść i systemów napędowych dla aplikacji maszyn mobilnych na targach Agritechnica w dniach 12-16 listopada ( hala 01, stoisko A219).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Wydajne projektowanie, szybka instalacja.</w:t>
      </w:r>
    </w:p>
    <w:p>
      <w:pPr>
        <w:pStyle w:val="par"/>
        <w:ind w:left="0"/>
      </w:pPr>
      <w:r>
        <w:rPr/>
        <w:t xml:space="preserve">W nawiązaniu do sektora wystawy "Systemy &amp; Komponenty", B&amp;R zaprezentuje modułowe systemy dla automatyzacji pojazdów rolniczych - systemy, dzięki którym instalacja i utrzymanie maszyny oraz urządzenia odbywa się przy minimalnym wysiłku. Korzystając z oprogramowania Automation Studio, projektanci mogą stworzyć modułowe, rozproszone programy dla całego sterowania, sterowania napędami, wizualizacji i zadań bezpieczeństwa w jednym środowisku programistycznym.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Nowy wymiar w komunikacji danych</w:t>
      </w:r>
    </w:p>
    <w:p>
      <w:pPr>
        <w:pStyle w:val="par"/>
        <w:ind w:left="0"/>
      </w:pPr>
      <w:r>
        <w:rPr/>
        <w:t xml:space="preserve">Organizacja EPSG (Ethernet POWERLINK Standardization Group) również będzie obecna na stoisku firmy B&amp;R; reprezentować będzie organizację rozwijającą protokoł Ethernet POWERLINK - komunikacyjną sieć czasu rzeczywistego. Ten niezwykle szybki i elastyczny protokół sieci Ethernet zapewnia najwyższą pojemność transferu danych, pomaga w realizacji wymagających zadań takich jak nagły wzrost w przepływie danych, który na przykład, wynika ze zwiększonej ilości danych wygenerowanych przez systemy wizyjne.</w:t>
      </w:r>
    </w:p>
    <w:p>
      <w:pPr>
        <w:pStyle w:val="par"/>
        <w:ind w:left="0"/>
      </w:pPr>
      <w:r>
        <w:rPr/>
        <w:t xml:space="preserve">POWERLINK jest protokołem otwartym i może go stosować każdy bez żadnych opłat licencyjnych. Ta sieć czasu rzeczywistego umożliwia pracę w trybie multi-master, jest doskonała dla połączeń dwuprzewodowych oraz upraszcza strukturę współpracujących ze sobą systemów autonomicznych.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Najwyższy poziom bezpieczeństwa dla technologii modułowej.</w:t>
      </w:r>
    </w:p>
    <w:p>
      <w:pPr>
        <w:pStyle w:val="par"/>
        <w:ind w:left="0"/>
      </w:pPr>
      <w:r>
        <w:rPr/>
        <w:t xml:space="preserve">Otwarty i niezależny od zastosowanej sieci protokół bezpieczeństwa openSAFETY ułatwia wdrożenie funkcji bezpieczeństwa i jest zgodna z wymaganiami europejskiej dyrektywy maszynowej.  W młodej dziedzinie bezpiecznego sieciowego przesyłu danych, openSAFETY jest odpowiedzią na od dawna stawiane wymaganie odnośnie jednolitości i współdziałania wszystkich systemów. 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Agritechnica MA170-Mod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ritechnica MA170-Modul"/>
                    <pic:cNvPicPr/>
                  </pic:nvPicPr>
                  <pic:blipFill>
                    <a:blip xmlns:r="http://schemas.openxmlformats.org/officeDocument/2006/relationships" cstate="print" r:embed="N103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zaprezentuje pełną ofertę  modułowych sterowników, modułów wejść/wyjść i systemów napędowych dla aplikacji maszyn mobilnych na targach Agritechnica w dniach 12-16 listopada ( hala 01, stoisko A219).</w:t>
      </w:r>
    </w:p>
    <w:bookmarkEnd w:id="8"/>
    <w:bookmarkEnd w:id="7"/>
    <w:bookmarkStart w:id="9" w:name="_XREFN1012F"/>
    <w:bookmarkStart w:id="10" w:name="_XREFN10134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2" name="Agritechnica Getr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ritechnica Getreide"/>
                    <pic:cNvPicPr/>
                  </pic:nvPicPr>
                  <pic:blipFill>
                    <a:blip xmlns:r="http://schemas.openxmlformats.org/officeDocument/2006/relationships" cstate="print" r:embed="N104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99" w:type="default"/>
      <w:footerReference xmlns:r="http://schemas.openxmlformats.org/officeDocument/2006/relationships" r:id="N1052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9" Target="header1.xml" Type="http://schemas.openxmlformats.org/officeDocument/2006/relationships/header"/><Relationship Id="N1052D" Target="footer1.xml" Type="http://schemas.openxmlformats.org/officeDocument/2006/relationships/footer"/><Relationship Id="N103D6" Target="media/N103D6.jpg" Type="http://schemas.openxmlformats.org/officeDocument/2006/relationships/image"/><Relationship Id="N10423" Target="media/N10423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0" Target="media/N1050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