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Soluções modulares de automação para máquinas agrícolas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Inovações da B&amp;R na 2013 Agritechnica em Hanover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Os fabricantes de máquinas agrícolas estão sob a mesma pressão que os fabricantes de máquinas industriais quando se trata de implementar soluções automatizadas e garantir a segurança de suas máquinas. Além disso, o uso externo apresenta seus próprios desafios únicos para máquinas móveis. Além de apresentar soluções ideais para enfrentar esses desafios, a B&amp;R também apresentará toda a sua gama de sistemas de controle modular, I/O e acionamento para aplicações móveis de 12 a 16 de novembro de 2013, na exposição Agritechnica (Hall 01, Booth A219) 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Desenvolvimento eficiente, instalação rápida</w:t>
      </w:r>
    </w:p>
    <w:p>
      <w:pPr>
        <w:pStyle w:val="par"/>
        <w:ind w:left="0"/>
      </w:pPr>
      <w:r>
        <w:rPr/>
        <w:t xml:space="preserve">De acordo com o tema da exposição "Sistemas e Componentes", a B &amp; R apresentará seus sistemas modulares para automação de veículos agrícolas - sistemas que permitem que máquinas e dispositivos sejam instalados e mantidos com um mínimo de esforço absoluto. Com o software B&amp;R's Automation Studio, os desenvolvedores podem criar programas modulares e distribuídos para todas as tarefas de controle, controle de movimento, visualização e segurança usando um único ambiente de desenvolvimento.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Uma nova dimensão na comunicação de dados</w:t>
      </w:r>
    </w:p>
    <w:p>
      <w:pPr>
        <w:pStyle w:val="par"/>
        <w:ind w:left="0"/>
      </w:pPr>
      <w:r>
        <w:rPr/>
        <w:t xml:space="preserve">O Grupo de Normalização Ethernet POWERLINK (EPSG) também será representado no stand da B &amp; R como organização de usuários para o sistema de comunicação POWERLINK em tempo real. Este protocolo baseado em Ethernet rápido e flexível proporciona uma capacidade de transferência de dados superior, ajudando a dominar novos desafios, como o aumento exponencial do tráfego de dados, que resulta, por exemplo, do aumento do uso de dados gerados pelos sistemas de câmeras. </w:t>
      </w:r>
    </w:p>
    <w:p>
      <w:pPr>
        <w:pStyle w:val="par"/>
        <w:ind w:left="0"/>
      </w:pPr>
      <w:r>
        <w:rPr/>
        <w:t xml:space="preserve">O POWERLINK está disponível como tecnologia de código aberto e, portanto, garante a independência total do fornecedor. O padrão de rede em tempo real tem capacidades multi-mestre, é adequado para conexões de dois fios e simplifica a estrutura de sistemas autônomos interoperáveis.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 mais alto nível de segurança para a tecnologia modular</w:t>
      </w:r>
    </w:p>
    <w:p>
      <w:pPr>
        <w:pStyle w:val="par"/>
        <w:ind w:left="0"/>
      </w:pPr>
      <w:r>
        <w:rPr/>
        <w:t xml:space="preserve">O protocolo de segurança open-field e independente do field openSAFETY facilita a implementação da funcionalidade de segurança e satisfaz os requisitos estabelecidos nas diretrizes de máquinas da UE. Com os sinais relacionados à segurança roteados através de vias de comunicação regulares na rede, a fiação separada torna-se desnecessária - abrindo os padrões de segurança mais altos, tempos de reação rápidos e diagnósticos avançados para arquiteturas de sistemas modulares também.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Agritechnica MA170-Mod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ritechnica MA170-Modul"/>
                    <pic:cNvPicPr/>
                  </pic:nvPicPr>
                  <pic:blipFill>
                    <a:blip xmlns:r="http://schemas.openxmlformats.org/officeDocument/2006/relationships" cstate="print" r:embed="N103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 B&amp;R apresentará toda a gama de controles modulares, I/O e sistemas de acionamento para aplicações móveis na Agritechnica (hall 01, cabine A219).</w:t>
      </w:r>
    </w:p>
    <w:bookmarkEnd w:id="8"/>
    <w:bookmarkEnd w:id="7"/>
    <w:bookmarkStart w:id="9" w:name="_XREFN1012F"/>
    <w:bookmarkStart w:id="10" w:name="_XREFN1013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2" name="Agritechnica Getr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ritechnica Getreide"/>
                    <pic:cNvPicPr/>
                  </pic:nvPicPr>
                  <pic:blipFill>
                    <a:blip xmlns:r="http://schemas.openxmlformats.org/officeDocument/2006/relationships" cstate="print" r:embed="N104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99" w:type="default"/>
      <w:footerReference xmlns:r="http://schemas.openxmlformats.org/officeDocument/2006/relationships" r:id="N1052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9" Target="header1.xml" Type="http://schemas.openxmlformats.org/officeDocument/2006/relationships/header"/><Relationship Id="N1052D" Target="footer1.xml" Type="http://schemas.openxmlformats.org/officeDocument/2006/relationships/footer"/><Relationship Id="N103D6" Target="media/N103D6.jpg" Type="http://schemas.openxmlformats.org/officeDocument/2006/relationships/image"/><Relationship Id="N10423" Target="media/N10423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0" Target="media/N1050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