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 Smart Display Link 3 na vzdálenost až 100 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novou generaci své technologie pro přenos zobrazovaných dat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uvádí na trh Smart Display Link 3 – nejnovější technologii pro přenos zobrazovaných dat. Tato verze již osvědčené technologie umožňuje použití kabelů délky až 100 m (vzdálenost mezi PC a panelem) a reflektuje zejména požadavky výrobců modulárních strojů a výrobních linek. Technologie Smart Display Link byla poprvé představena v roce 2004. Již tehdy umožnila zákazníkům společnosti B&amp;R umísťovat operátorské panely až do vzdálenosti 40 m od řídicího PC.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Snadná decentralizace</w:t>
      </w:r>
    </w:p>
    <w:p>
      <w:pPr>
        <w:pStyle w:val="par"/>
        <w:ind w:left="0"/>
      </w:pPr>
      <w:r>
        <w:rPr/>
        <w:t xml:space="preserve">Technologie Smart Display Link 3 sjednocuje různá komunikační média a nahrazuje je jediným standardním ethernetovým kabelem. Tím klesají náklady na kabeláž – při větších vzdálenostech velmi významně. Tenký kabel s konektorem RJ45 se také snadno vejde do různých průchodek, zúžených míst, či do nosných ramen panelů. Technologie Smart Display Link 3 současně přináší špičkovou grafickou výkonnost, neboť grafická data jsou přenášena z řídicího PC přímo na panel, bez jakéhokoliv dodatečného předzpracování. Technologie je použitelná bez ohledu na operační systém počítače.</w:t>
      </w:r>
    </w:p>
    <w:p>
      <w:pPr>
        <w:pStyle w:val="par"/>
        <w:ind w:left="0"/>
      </w:pPr>
      <w:r>
        <w:rPr/>
        <w:t xml:space="preserve">Smart Display Link 3 je díky své modularitě použitelný pro všechny operátorské panely třídy Automation Panel firmy B&amp;R – tedy nejen pro produkty nové, ale i pro předchozí generace panelů. Technologie Smart Display Link 3 je tudíž kompatibilní se všemi v současné době provozovanými operátorskými panely třídy Automation Panel.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mart Display L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Display Link 3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Display Link 3 umožňuje, díky délce propojovacího kabelu až 100 m, optimálně rozmístit řídicí počítače Automation PC a operátorské panely i na velmi rozlehlých strojích a zařízeních.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