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Innovations Day 2014 a Parma!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Martedì 25 febbraio 2014 - Hotel Parma &amp; Congressi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Anche quest'anno, direttamente da Norimberga, tutte le innovazioni B&amp;R presentate nella recente edizione di SPS IPC Drives, con in più approfondimenti tecnici e dimostrazioni live delle ultime tecnologie di automazione. Dal quartier generale austriaco, appositamente in Italia per l'occasione, il responsabile delle Business unit HMI presenterà di persona le ultime creazioni. </w:t>
      </w:r>
    </w:p>
    <w:p>
      <w:pPr>
        <w:pStyle w:val="par"/>
        <w:ind w:left="0"/>
      </w:pPr>
      <w:r>
        <w:rPr/>
        <w:t xml:space="preserve">L'incontro è dedicato ai </w:t>
      </w:r>
      <w:r>
        <w:rPr>
          <w:b/>
        </w:rPr>
        <w:t xml:space="preserve">responsabili tecnici e di produzione</w:t>
      </w:r>
      <w:r>
        <w:rPr/>
        <w:t xml:space="preserve">, che avranno modo di approfondire - con sessioni di presentazione e dimostrazioni pratiche - quali siano i benefici ottenibili grazie all'impiego delle nuove tecnologie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 vantaggi sono molteplici. Qualche esempio?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Scalability+</w:t>
      </w:r>
      <w:r>
        <w:t xml:space="preserve">: la filosofia che apre nuove possibilità ai costruttori di macchine che, con oltre 1000 opzioni hardware e 1000 opzioni software disponibili, potranno creare l'automazione su misura per ogni macchina.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I nuovi </w:t>
      </w:r>
      <w:r>
        <w:rPr>
          <w:b/>
        </w:rPr>
        <w:t xml:space="preserve">controller compatti con I/O integrati</w:t>
      </w:r>
      <w:r>
        <w:t xml:space="preserve">, in aggiunta alla apprezzata serie di controllori X20, consentono grande versatilità fin dai sistemi entry-level.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All'interno della riuscita gamma di Power Panel saranno presentati numerosi </w:t>
      </w:r>
      <w:r>
        <w:rPr>
          <w:b/>
        </w:rPr>
        <w:t xml:space="preserve">nuovi modelli di schermi tattili con e senza funzionalità di controllo</w:t>
      </w:r>
      <w:r>
        <w:t xml:space="preserve">. Le nuove HMI sono meno dipendenti dal sistema operativo e sempre più orientate al Web, grazie all'adozione di tecnologie standard di ultima generazione, come HTML5.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reACTION technology</w:t>
      </w:r>
      <w:r>
        <w:t xml:space="preserve">, la novità che porterà a ridurre i tempi di ciclo a livelli inediti, consentendo tempi di reazione di 1 microsecondo.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L'utilizzo della soluzione out-of-the-box </w:t>
      </w:r>
      <w:r>
        <w:rPr>
          <w:b/>
        </w:rPr>
        <w:t xml:space="preserve">APROL EnMon per il monitoraggio dei consumi energetici</w:t>
      </w:r>
      <w:r>
        <w:t xml:space="preserve"> di macchina e impianto, perfetta per la gestione energetica di fabbrica e in linea con quanto richiesto dalla ISO 50001.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Molte altre innovazioni saranno presentate per ogni area dell'automazione: dal </w:t>
      </w:r>
      <w:r>
        <w:rPr>
          <w:b/>
        </w:rPr>
        <w:t xml:space="preserve">software meccatronico</w:t>
      </w:r>
      <w:r>
        <w:t xml:space="preserve"> che sfrutta la simulazione, ai </w:t>
      </w:r>
      <w:r>
        <w:rPr>
          <w:b/>
        </w:rPr>
        <w:t xml:space="preserve">potenti sistemi PC-based</w:t>
      </w:r>
      <w:r>
        <w:t xml:space="preserve">, alle </w:t>
      </w:r>
      <w:r>
        <w:rPr>
          <w:b/>
        </w:rPr>
        <w:t xml:space="preserve">evolute tecnologie per il controllo di movimento</w:t>
      </w:r>
      <w:r>
        <w:t xml:space="preserve"> e altro ancora. </w:t>
      </w:r>
    </w:p>
    <w:p/>
    <w:bookmarkStart w:id="4" w:name="_XREFN1009B"/>
    <w:bookmarkStart w:id="5" w:name="_XREFN100B5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234899"/>
            <wp:effectExtent b="0" l="0" r="0" t="0"/>
            <wp:docPr id="1" name="InnovationV2_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ovationV2_media"/>
                    <pic:cNvPicPr/>
                  </pic:nvPicPr>
                  <pic:blipFill>
                    <a:blip xmlns:r="http://schemas.openxmlformats.org/officeDocument/2006/relationships" cstate="print" r:embed="N104A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3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521" w:type="default"/>
      <w:footerReference xmlns:r="http://schemas.openxmlformats.org/officeDocument/2006/relationships" r:id="N105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21" Target="header1.xml" Type="http://schemas.openxmlformats.org/officeDocument/2006/relationships/header"/><Relationship Id="N105B5" Target="footer1.xml" Type="http://schemas.openxmlformats.org/officeDocument/2006/relationships/footer"/><Relationship Id="N104AA" Target="media/N104A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88" Target="media/N105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