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Innovations Day 2014: i numeri del successo!</w:t>
      </w:r>
    </w:p>
    <w:p>
      <w:pPr>
        <w:pStyle w:val="label-first"/>
        <w:keepNext/>
        <w:ind w:left="0"/>
      </w:pPr>
      <w:r>
        <w:rPr>
          <w:b/>
          <w:sz w:val="20"/>
        </w:rPr>
        <w:t xml:space="preserve">L’innovazione targata B&amp;R presentata a Parma</w:t>
      </w:r>
    </w:p>
    <w:p>
      <w:pPr>
        <w:pStyle w:val="par-first"/>
        <w:ind w:left="0"/>
        <w:jc w:val="left"/>
      </w:pPr>
      <w:r>
        <w:rPr>
          <w:i/>
          <w:i/>
        </w:rPr>
        <w:t xml:space="preserve">Oltre 100 clienti, 150 mq di area espositiva, più di 40 innovazioni, 6 presentazioni tecniche, 3 dimostrazioni live, 1 unico evento.</w:t>
      </w:r>
    </w:p>
    <w:p>
      <w:pPr>
        <w:pStyle w:val="par"/>
        <w:ind w:left="0"/>
      </w:pPr>
      <w:r>
        <w:rPr/>
        <w:t xml:space="preserve">Alla sua seconda edizione, l’Innovations Day B&amp;R 2014 ha ottenuto un grande riscontro tra direttori tecnici e sviluppatori che si sono riuniti da ogni località italiana nell’auditorium della location parmense dove si è svolto l’evento.</w:t>
      </w:r>
    </w:p>
    <w:p>
      <w:pPr>
        <w:pStyle w:val="par"/>
        <w:ind w:left="0"/>
      </w:pPr>
      <w:r>
        <w:rPr/>
        <w:t xml:space="preserve">Il successo dell’edizione 2014 è stato confermato dalla partecipazione di oltre 100 ospiti entusiasti e appagati dalle novità tecnologiche presentate e mostrate dal vivo. Ad aprire la kermesse è stato Luca Galluzzi, Direttore Generale di B&amp;R Automazione Industriale, che ha introdotto quello che è il filo conduttore di un po’ di tutte le innovazioni proposte per il 2014. Si tratta di un nuovo concetto di automazione pensato per gli attuali e futuri leader di mercato: con Scalability+ potranno raggiungere un nuovo livello di efficienza nella produzione di macchine uniche e personalizzate, sfruttando la modularità e la flessibilità di un unico software per configurare e programmare ogni piattaforma di controllo, qualunque sia il formato, la potenza o la connettività. A questo scopo, potranno fare leva anche sulla estrema scalabilità concessa da ampi range di hardware perfettamente compatibili non solo con altri elementi della stessa serie, ma anche con altri formati e architetture.</w:t>
      </w:r>
    </w:p>
    <w:p>
      <w:pPr>
        <w:pStyle w:val="label"/>
        <w:keepNext/>
        <w:ind w:left="0"/>
      </w:pPr>
      <w:r>
        <w:rPr>
          <w:b/>
          <w:sz w:val="20"/>
        </w:rPr>
        <w:t xml:space="preserve">HMI, controllo, motion... fino alla reACTION Technology</w:t>
      </w:r>
    </w:p>
    <w:p>
      <w:pPr>
        <w:pStyle w:val="par"/>
        <w:ind w:left="0"/>
      </w:pPr>
      <w:r>
        <w:rPr/>
        <w:t xml:space="preserve">A seguire questa prima introduzione sulla filosofia di Scalability+, si sono alternati gli esperti B&amp;R che hanno dato una panoramica delle funzioni dei nuovi prodotti, spiegandone le caratteristiche innovative e il funzionamento anche dal punto di vista tecnico e applicativo. Direttamente dal quartier generale Austriaco, ospite d’eccezione tra i relatori, il responsabile della Business Unit HMI Raimund Ruf ha orgogliosamente illustrato gli ultimi prodotti nati sotto la sua guida (PC industriali, Panel PC, pannelli di ultima generazione), capaci di coniugare continuità e innovazione dinamica.  </w:t>
      </w:r>
    </w:p>
    <w:p>
      <w:pPr>
        <w:pStyle w:val="par"/>
        <w:ind w:left="0"/>
      </w:pPr>
      <w:r>
        <w:rPr/>
        <w:t xml:space="preserve">Partendo dalle tecnologie di controllo, hanno trovato spazio grandi novità tra le fila di PLC e I/O, tra le quali spiccano le CPU X20 compatte con I/O integrati e i nuovi moduli X20 e X67 con tempi di ciclo nell’ordine del microsecondo anche per segnali analogici, grazie alla reACTION Technology. Novità di rilievo anche per i pannelli, con i Power Panel Serie T e C che introducono un modo diverso e completamente modulare di pensare al controllo di macchina.  Si è poi passati alla presentazione delle numerose nuove funzionalità nel controllo assi, capitolo nel quale Uteco è intervenuta riportando ai presenti come siano state messe a frutto le innovazioni B&amp;R e con quali risultati.  </w:t>
      </w:r>
    </w:p>
    <w:p>
      <w:pPr>
        <w:pStyle w:val="par"/>
        <w:ind w:left="0"/>
      </w:pPr>
      <w:r>
        <w:rPr/>
        <w:t xml:space="preserve">A seguire, anche con sessioni dimostrative dal vivo, sono state protagoniste le novità introdotte dalla versione 4.0 del tool di programmazione Automation Studio. Un aggiornamento sul mercato dei prodotti basati sulla tecnologia di comunicazione POWERLINK e un’ultima introduzione con dimostrazione live del sistema di misura e monitoraggio dei consumi energetici APROL EnMon hanno concluso la giornata. </w:t>
      </w:r>
    </w:p>
    <w:p/>
    <w:bookmarkStart w:id="9" w:name="_XREFN1009B"/>
    <w:bookmarkStart w:id="10" w:name="_XREFN10087"/>
    <w:p>
      <w:pPr>
        <w:keepNext/>
        <w:spacing w:after="20" w:before="0"/>
        <w:ind w:left="0"/>
      </w:pPr>
      <w:r>
        <w:drawing>
          <wp:inline xmlns:wp="http://schemas.openxmlformats.org/drawingml/2006/wordprocessingDrawing" distB="0" distL="0" distR="0" distT="0">
            <wp:extent cx="3600000" cy="2391608"/>
            <wp:effectExtent b="0" l="0" r="0" t="0"/>
            <wp:docPr id="1" name="Pic4_LucaGalluzzi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4_LucaGalluzzi_Presentation"/>
                    <pic:cNvPicPr/>
                  </pic:nvPicPr>
                  <pic:blipFill>
                    <a:blip xmlns:r="http://schemas.openxmlformats.org/officeDocument/2006/relationships" cstate="print" r:embed="N103B8"/>
                    <a:stretch>
                      <a:fillRect/>
                    </a:stretch>
                  </pic:blipFill>
                  <pic:spPr>
                    <a:xfrm>
                      <a:off x="0" y="0"/>
                      <a:ext cx="3600000" cy="2391608"/>
                    </a:xfrm>
                    <a:prstGeom prst="rect">
                      <a:avLst/>
                    </a:prstGeom>
                  </pic:spPr>
                </pic:pic>
              </a:graphicData>
            </a:graphic>
          </wp:inline>
        </w:drawing>
      </w:r>
    </w:p>
    <w:p>
      <w:pPr>
        <w:pStyle w:val="media-caption"/>
        <w:ind w:left="0"/>
      </w:pPr>
      <w:r>
        <w:t xml:space="preserve">Luca Galluzzi, Direttore Generale di B&amp;R Italia, espone il concetto di Scalability+ proposto da B&amp;R</w:t>
      </w:r>
    </w:p>
    <w:bookmarkEnd w:id="10"/>
    <w:bookmarkEnd w:id="9"/>
    <w:bookmarkStart w:id="11" w:name="_XREFN1008F"/>
    <w:bookmarkStart w:id="12" w:name="_XREFN10096"/>
    <w:p>
      <w:pPr>
        <w:keepNext/>
        <w:spacing w:after="20" w:before="0"/>
        <w:ind w:left="0"/>
      </w:pPr>
      <w:r>
        <w:drawing>
          <wp:inline xmlns:wp="http://schemas.openxmlformats.org/drawingml/2006/wordprocessingDrawing" distB="0" distL="0" distR="0" distT="0">
            <wp:extent cx="3600000" cy="2392615"/>
            <wp:effectExtent b="0" l="0" r="0" t="0"/>
            <wp:docPr id="2" name="Pic1_Exhibition_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1_Exhibition_Area"/>
                    <pic:cNvPicPr/>
                  </pic:nvPicPr>
                  <pic:blipFill>
                    <a:blip xmlns:r="http://schemas.openxmlformats.org/officeDocument/2006/relationships" cstate="print" r:embed="N10407"/>
                    <a:stretch>
                      <a:fillRect/>
                    </a:stretch>
                  </pic:blipFill>
                  <pic:spPr>
                    <a:xfrm>
                      <a:off x="0" y="0"/>
                      <a:ext cx="3600000" cy="2392615"/>
                    </a:xfrm>
                    <a:prstGeom prst="rect">
                      <a:avLst/>
                    </a:prstGeom>
                  </pic:spPr>
                </pic:pic>
              </a:graphicData>
            </a:graphic>
          </wp:inline>
        </w:drawing>
      </w:r>
    </w:p>
    <w:p>
      <w:pPr>
        <w:pStyle w:val="media-caption"/>
        <w:ind w:left="0"/>
      </w:pPr>
      <w:r>
        <w:t xml:space="preserve">L'ampia area espositiva della location parmense ha consentito di mostrare tutte le innvoazioni B&amp;R per il 2014</w:t>
      </w:r>
    </w:p>
    <w:bookmarkEnd w:id="12"/>
    <w:bookmarkEnd w:id="11"/>
    <w:bookmarkStart w:id="13" w:name="_XREFN100E9"/>
    <w:bookmarkStart w:id="14" w:name="_XREFN100F01394126024443"/>
    <w:p>
      <w:pPr>
        <w:keepNext/>
        <w:spacing w:after="20" w:before="0"/>
        <w:ind w:left="0"/>
      </w:pPr>
      <w:r>
        <w:drawing>
          <wp:inline xmlns:wp="http://schemas.openxmlformats.org/drawingml/2006/wordprocessingDrawing" distB="0" distL="0" distR="0" distT="0">
            <wp:extent cx="3600000" cy="2390423"/>
            <wp:effectExtent b="0" l="0" r="0" t="0"/>
            <wp:docPr id="3" name="Pic5_Control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5_Control_Presentation"/>
                    <pic:cNvPicPr/>
                  </pic:nvPicPr>
                  <pic:blipFill>
                    <a:blip xmlns:r="http://schemas.openxmlformats.org/officeDocument/2006/relationships" cstate="print" r:embed="N10456"/>
                    <a:stretch>
                      <a:fillRect/>
                    </a:stretch>
                  </pic:blipFill>
                  <pic:spPr>
                    <a:xfrm>
                      <a:off x="0" y="0"/>
                      <a:ext cx="3600000" cy="2390423"/>
                    </a:xfrm>
                    <a:prstGeom prst="rect">
                      <a:avLst/>
                    </a:prstGeom>
                  </pic:spPr>
                </pic:pic>
              </a:graphicData>
            </a:graphic>
          </wp:inline>
        </w:drawing>
      </w:r>
    </w:p>
    <w:p>
      <w:pPr>
        <w:pStyle w:val="media-caption"/>
        <w:ind w:left="0"/>
      </w:pPr>
      <w:r>
        <w:t xml:space="preserve">Oltre 100 partecipanti hanno assistito a 6 presentazioni e a 3 demo live per conoscere tutte le innovazioni B&amp;R per il 2014</w:t>
      </w:r>
    </w:p>
    <w:bookmarkEnd w:id="14"/>
    <w:bookmarkEnd w:id="13"/>
    <w:bookmarkStart w:id="15" w:name="_XREFN10143"/>
    <w:bookmarkStart w:id="16" w:name="_XREFN1014A"/>
    <w:p>
      <w:pPr>
        <w:keepNext/>
        <w:spacing w:after="20" w:before="0"/>
        <w:ind w:left="0"/>
      </w:pPr>
      <w:r>
        <w:drawing>
          <wp:inline xmlns:wp="http://schemas.openxmlformats.org/drawingml/2006/wordprocessingDrawing" distB="0" distL="0" distR="0" distT="0">
            <wp:extent cx="3600000" cy="3129577"/>
            <wp:effectExtent b="0" l="0" r="0" t="0"/>
            <wp:docPr id="4" name="Pic2_Exhibition_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2_Exhibition_Area"/>
                    <pic:cNvPicPr/>
                  </pic:nvPicPr>
                  <pic:blipFill>
                    <a:blip xmlns:r="http://schemas.openxmlformats.org/officeDocument/2006/relationships" cstate="print" r:embed="N104A5"/>
                    <a:stretch>
                      <a:fillRect/>
                    </a:stretch>
                  </pic:blipFill>
                  <pic:spPr>
                    <a:xfrm>
                      <a:off x="0" y="0"/>
                      <a:ext cx="3600000" cy="3129577"/>
                    </a:xfrm>
                    <a:prstGeom prst="rect">
                      <a:avLst/>
                    </a:prstGeom>
                  </pic:spPr>
                </pic:pic>
              </a:graphicData>
            </a:graphic>
          </wp:inline>
        </w:drawing>
      </w:r>
    </w:p>
    <w:p>
      <w:pPr>
        <w:pStyle w:val="media-caption"/>
        <w:ind w:left="0"/>
      </w:pPr>
      <w:r>
        <w:t xml:space="preserve">La reACTION Technology di B&amp;R consente di ottenere prestazioni al microsecondo</w:t>
      </w:r>
    </w:p>
    <w:bookmarkEnd w:id="16"/>
    <w:bookmarkEnd w:id="15"/>
    <w:p/>
    <w:p/>
    <w:p/>
    <w:p>
      <w:pPr>
        <w:pStyle w:val="headline-content-1"/>
        <w:keepNext/>
      </w:pPr>
      <w:r>
        <w:rPr>
          <w:rStyle w:val="headline-content-run1"/>
          <w:sz w:val="16"/>
        </w:rPr>
        <w:t xml:space="preserve">A proposito di B&amp;R</w:t>
      </w:r>
    </w:p>
    <w:p>
      <w:pPr>
        <w:pStyle w:val="par"/>
        <w:ind w:left="0"/>
      </w:pPr>
      <w:r>
        <w:rPr>
          <w:sz w:val="16"/>
        </w:rPr>
        <w:t xml:space="preserve">B&amp;R, una divisione del Gruppo ABB, è leader globale nell'automazione industriale con sede in Austria. B&amp;R combina tecnologia all'avanguardia con ingegneria avanzata per fornire ai clienti, praticamente di ogni settore, soluzioni complete per l'automazione di macchine e fabbriche, controllo del movimento, HMI e tecnologia di sicurezza integrata. Con gli standard di comunicazione IoT industriale tra cui OPC UA, POWERLINK e openSAFETY, nonché il software Automation Studio, B&amp;R ridefinisce costantemente il futuro dell'ingegneria dell'automazione. Lo spirito innovativo che mantiene B&amp;R all'avanguardia nell'automazione industriale è guidato dall'impegno a semplificare i processi e a superare le aspettative dei clienti. </w:t>
      </w:r>
    </w:p>
    <w:p>
      <w:pPr>
        <w:pStyle w:val="par"/>
        <w:ind w:left="0"/>
      </w:pPr>
      <w:r>
        <w:rPr>
          <w:sz w:val="16"/>
        </w:rPr>
        <w:t xml:space="preserve">Per maggiori informazioni, visita www.br-automation.com</w:t>
      </w:r>
    </w:p>
    <w:sectPr>
      <w:headerReference xmlns:r="http://schemas.openxmlformats.org/officeDocument/2006/relationships" r:id="N10527" w:type="default"/>
      <w:footerReference xmlns:r="http://schemas.openxmlformats.org/officeDocument/2006/relationships" r:id="N105B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Contatto stampa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Comunicato stampa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8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27" Target="header1.xml" Type="http://schemas.openxmlformats.org/officeDocument/2006/relationships/header"/><Relationship Id="N105BB" Target="footer1.xml" Type="http://schemas.openxmlformats.org/officeDocument/2006/relationships/footer"/><Relationship Id="N103B8" Target="media/N103B8.jpg" Type="http://schemas.openxmlformats.org/officeDocument/2006/relationships/image"/><Relationship Id="N10407" Target="media/N10407.jpg" Type="http://schemas.openxmlformats.org/officeDocument/2006/relationships/image"/><Relationship Id="N10456" Target="media/N10456.jpg" Type="http://schemas.openxmlformats.org/officeDocument/2006/relationships/image"/><Relationship Id="N104A5" Target="media/N104A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8E" Target="media/N1058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