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Gotowy na Przemysł 4.0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zaprezentuje w Hanowerze rozwiązania dla maszyn przyszłości'</w:t>
      </w:r>
    </w:p>
    <w:p>
      <w:pPr>
        <w:pStyle w:val="par-first"/>
        <w:ind w:left="0"/>
        <w:jc w:val="left"/>
      </w:pPr>
      <w:r>
        <w:rPr>
          <w:i/>
          <w:i/>
        </w:rPr>
        <w:t xml:space="preserve">Grupa robocza ds. tak zwanego "Przemysłu 4.0", czyli przemysłu nowej generacji przewiduje, że inteligentne fabryki (ang. Smart Factories) oraz internet rzeczy staną się rzeczywistością jeszcze przed rokiem 2025. Jednakże klienci B&amp;R nie będą musieli czekać tak długo na przyszłość. B&amp;R, innowacyjny producent specjalizujący się w automatyce przemysłowej, oferuje rozwiązania i technologie dzięki którym możesz używać maszyn i systemów jutra już dziś. B&amp;R wystawi swoje nowatorskie produkty na targach w Hanowerze w Hali 9 na stoisku D28.</w:t>
      </w:r>
    </w:p>
    <w:p>
      <w:pPr>
        <w:pStyle w:val="par"/>
        <w:ind w:left="0"/>
      </w:pPr>
      <w:r>
        <w:rPr/>
        <w:t xml:space="preserve">"Koncepcje przyszłych rozwiązań technologicznych będą zasadzały się w technologiach w otwartych standardach", tłumaczy Markus Sandhöfner, dyrektor generalny B&amp;R Germany. Istniejącymi i działającymi tego przykładami są: oprogramowanie Automation Studio, sieć POWERLINK w standardzie open source oraz standard openSAFETY firmy B&amp;R. System sterowania procesami APROL umożliwia szybkie i bezpieczne łączenie maszyn w sieci, co służy optymalizacji odstępów międzykonserwacyjnych, podniesieniu sprawności energetycznej i obciążenia poszczególnych urządzeń. "Oto właśnie Przemysł 4.0, który istnieje i działa", mówi Sandhöfner.</w:t>
      </w:r>
    </w:p>
    <w:p>
      <w:pPr>
        <w:pStyle w:val="par"/>
        <w:ind w:left="0"/>
      </w:pPr>
      <w:r>
        <w:rPr/>
        <w:t xml:space="preserve">"Oto właśnie Przemysł 4.0, który istnieje i działa", mówi Sandhöfner. "Jeżeli, dajmy na to, proces projektowania wymaga modernizacji składników i rozwiązań lub zmniejszenia ich skali, jest to zawsze możliwe", podkreśla Sandhöfner. Jednocześnie efekty ukończonych prac rozwojowych można zawsze zachować, i to w pełni.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Wysoka wydajność, kompaktowa konstrukcja</w:t>
      </w:r>
    </w:p>
    <w:p>
      <w:pPr>
        <w:pStyle w:val="par"/>
        <w:ind w:left="0"/>
      </w:pPr>
      <w:r>
        <w:rPr/>
        <w:t xml:space="preserve">Ważną częścią koncepcji Scalability+ jest modułowa platforma komputerów przemysłowych Panel PC produkcji B&amp;R. Najnowszy system z tej gamy produktów, czyli Panel PC 2100, zadebiutuje publicznie na targach Hannover Messe. Wszystkie </w:t>
      </w:r>
      <w:r>
        <w:rPr/>
        <w:t xml:space="preserve">nd</w:t>
      </w:r>
      <w:r>
        <w:rPr/>
        <w:t xml:space="preserve">  jednostki Automation Panel 2. generacji, zarówno w wariantach do montażu w rackach szafowych i na wysięgnikach, można zmodernizować do konfiguracji Panel PC metodą prostej instalacji modułu PC. Moduł PC zaprojektowano w oparciu o nowatorską architekturę Bay Trail firmy Intel, dzięki czemu jest równie kompaktowy, co odbiorniki DVI/SDL. Jednocześnie odznacza się on nieograniczoną skalowalnością mocy obliczeniowej: zależnie od potrzeb użytkownika, moduły PC mogą być wyposażone w procesory jedno-, dwu- lub czterordzeniowe.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hann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nover"/>
                    <pic:cNvPicPr/>
                  </pic:nvPicPr>
                  <pic:blipFill>
                    <a:blip xmlns:r="http://schemas.openxmlformats.org/officeDocument/2006/relationships" cstate="print" r:embed="N103A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targach Hannover Messe eksperci z ramienia B&amp;R zaprezentują zaawansowane rozwiązania technologiczne, które otwierają drogę do Przemysłu 4.0.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29" w:type="default"/>
      <w:footerReference xmlns:r="http://schemas.openxmlformats.org/officeDocument/2006/relationships" r:id="N104B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9" Target="header1.xml" Type="http://schemas.openxmlformats.org/officeDocument/2006/relationships/header"/><Relationship Id="N104BD" Target="footer1.xml" Type="http://schemas.openxmlformats.org/officeDocument/2006/relationships/footer"/><Relationship Id="N103A8" Target="media/N103A8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0" Target="media/N1049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