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Промышленный мотор 4.0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В Ганновере B&amp;R продемонстрирует тенденции, которые определят будущее для производителей машин.</w:t>
      </w:r>
    </w:p>
    <w:p>
      <w:pPr>
        <w:pStyle w:val="par-first"/>
        <w:ind w:left="0"/>
        <w:jc w:val="left"/>
      </w:pPr>
      <w:r>
        <w:rPr>
          <w:i/>
          <w:i/>
        </w:rPr>
        <w:t xml:space="preserve">Согласно выкладкам рабочей группы "Промышленность 4.0", проекты "Умное предприятие" и "Интерет Вещей" станут реальностью в 2015 году. Но заказчика B&amp;R не придется ждать так долго. Инновационный лидер в области автоматизации уже сегодня готов предложить технологи и решения для разработки и внедрения машин и систем будущего. Со всем спектром инноваций можно будет познакомится на выставке в Ганновере, зал №9, стенд D28. </w:t>
      </w:r>
    </w:p>
    <w:p>
      <w:pPr>
        <w:pStyle w:val="par"/>
        <w:ind w:left="0"/>
      </w:pPr>
      <w:r>
        <w:rPr/>
        <w:t xml:space="preserve">"Концепции будущего будут основываться на открытых технологиях", говорит Маркус Сандхёфнер, директор представительства B&amp;R в Германии. Это требование уже выдвигалось B&amp;R при разработке программной среды Automation Studio и открытых стандартов POWERLINK и openSAFITY. Система управления технологическим процессом Aprol позволяет быстро и безопасно осуществлять взаимосвязь субъектов технологического процесса с целью оптимизации интервалов технического обслуживания, обеспечения общей энергоэффективности и снижения нагрузки на отдельные машины. "Это "Промышленность 4.0" - так близко. что ее можно потрогать." говорить Сандхёфнер.</w:t>
      </w:r>
    </w:p>
    <w:p>
      <w:pPr>
        <w:pStyle w:val="par"/>
        <w:ind w:left="0"/>
      </w:pPr>
      <w:r>
        <w:rPr/>
        <w:t xml:space="preserve">Важнейшим шагом в будущее для компании B&amp;R стала концепция Scalability+ (Масштабируемость+). Это сплав высоких технологий, которые максимально увеличивают гибкость и модульность машин и систем, а так же позволяют производителям выбирать программные и аппаратные решения. наилучшим образом отвечающие их нуждам. И при этом основанные на открытости и доступности. "Отдельные компоненты или решение в целом могут быть усовершенствованы либо уменьшены в размерах в любое время, если процесс разработки требует этого." говорить Сандхёфнер. Законченные разработки так же имеют необходимую гибкость и возможность дальнейшего совершенствования.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Высокая производительность компактных размеров</w:t>
      </w:r>
    </w:p>
    <w:p>
      <w:pPr>
        <w:pStyle w:val="par"/>
        <w:ind w:left="0"/>
      </w:pPr>
      <w:r>
        <w:rPr/>
        <w:t xml:space="preserve">Модульная платформа панельных компьютеров B&amp;R Panel PC является важной составляющей концепции Scalability+. Новейшая система, основанная на этой платформе Panel PC 2100 впервые будет представлена публике на выставке в Ганновере. Все</w:t>
      </w:r>
      <w:r>
        <w:rPr/>
        <w:t xml:space="preserve">второе</w:t>
      </w:r>
      <w:r>
        <w:rPr/>
        <w:t xml:space="preserve">  поколение панелей Automation Panels, как монтируемые на рейку, так и на кронштейн, может быть легко усовершенствовано до производительного панельного ПК путем установки модуля ПК. Используя преимущества архитектуры Bay Trail от Intel, ПК модуль не превышает размером плату DVI/SDL. В то же время, вычислительная мощность ЦПУ масштабируется в зависимости от потребностей пользователя - от одно-ядерного до четырех-ядерного процессора.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hann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nover"/>
                    <pic:cNvPicPr/>
                  </pic:nvPicPr>
                  <pic:blipFill>
                    <a:blip xmlns:r="http://schemas.openxmlformats.org/officeDocument/2006/relationships" cstate="print" r:embed="N103A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Эксперты B&amp;R представят в рамках Hannover Messe новейшие решения, открывающие путь концепции "Промышленность 4.0"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29" w:type="default"/>
      <w:footerReference xmlns:r="http://schemas.openxmlformats.org/officeDocument/2006/relationships" r:id="N104BD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9" Target="header1.xml" Type="http://schemas.openxmlformats.org/officeDocument/2006/relationships/header"/><Relationship Id="N104BD" Target="footer1.xml" Type="http://schemas.openxmlformats.org/officeDocument/2006/relationships/footer"/><Relationship Id="N103A8" Target="media/N103A8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0" Target="media/N10490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