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en la feria EWEA 2014 en Barcelona</w:t>
      </w:r>
    </w:p>
    <w:p>
      <w:pPr>
        <w:pStyle w:val="par-first"/>
        <w:ind w:left="0"/>
        <w:jc w:val="left"/>
      </w:pPr>
      <w:r>
        <w:rPr>
          <w:i/>
          <w:i/>
        </w:rPr>
        <w:t xml:space="preserve">B&amp;R presentó en su stand diferentes productos y tecnologías de automatización aplicables al control de aerogeneradores. El sector de la industria eólica vive momentos que apuntan a un incremento de la actividad durante los próximos años pero dichas previsiones pasan por crear sistemas lo más eficientes y rentables posibles. La tecnología que ofrece B&amp;R apunta en esta dirección mediante la integración de multitud de funcionalidades dentro de su conocida filosofía de automatización integrada.  Los visitantes pudieron comprobar la flexibilidad del producto B&amp;R a la hora de diseñar topologías del control completo de una turbina eólica, sistemas en los que un único cable de Ethernet POWERLINK vertebra el total de las comunicaciones entre los elementos distribuidos por la máquina. Entre estos elementos se encuentran los dispositivos de seguridad totalmente integrados mediante el estándar openSAFETY que permiten realizar diseños conformes a GL 2010. En el apartado de la seguridad cabe destacar la posibilidad que ofrece el control de B&amp;R de realizar rearmes remotos sin necesidad de hacerlo de manera presencial en la propia máquina (algo muy de agradecer en las plantas offshore). En el stand había también una demostración de la solución de B&amp;R para la monitorización de vibraciones, una solución tremendamente compacta y de un coste sin competencia en el mercado.  Con su presencia en el evento anual de EWEA, B&amp;R reafirma su intención de estar presente en la industria eólica aportando la tecnología necesaria para que, sin que importe de dónde sople, el sector siga plantando cara al viento. </w:t>
      </w:r>
    </w:p>
    <w:p/>
    <w:bookmarkStart w:id="3" w:name="_XREFN1009B"/>
    <w:bookmarkStart w:id="4" w:name="_XREFN100A0"/>
    <w:p>
      <w:pPr>
        <w:spacing w:after="200" w:before="0"/>
        <w:ind w:left="0"/>
      </w:pPr>
      <w:r>
        <w:drawing>
          <wp:inline xmlns:wp="http://schemas.openxmlformats.org/drawingml/2006/wordprocessingDrawing" distB="0" distL="0" distR="0" distT="0">
            <wp:extent cx="3600000" cy="2688889"/>
            <wp:effectExtent b="0" l="0" r="0" t="0"/>
            <wp:docPr id="1" name="IMG_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31"/>
                    <pic:cNvPicPr/>
                  </pic:nvPicPr>
                  <pic:blipFill>
                    <a:blip xmlns:r="http://schemas.openxmlformats.org/officeDocument/2006/relationships" cstate="print" r:embed="N10342"/>
                    <a:stretch>
                      <a:fillRect/>
                    </a:stretch>
                  </pic:blipFill>
                  <pic:spPr>
                    <a:xfrm>
                      <a:off x="0" y="0"/>
                      <a:ext cx="3600000" cy="2688889"/>
                    </a:xfrm>
                    <a:prstGeom prst="rect">
                      <a:avLst/>
                    </a:prstGeom>
                  </pic:spPr>
                </pic:pic>
              </a:graphicData>
            </a:graphic>
          </wp:inline>
        </w:drawing>
      </w:r>
    </w:p>
    <w:bookmarkEnd w:id="4"/>
    <w:bookmarkEnd w:id="3"/>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3B9" w:type="default"/>
      <w:footerReference xmlns:r="http://schemas.openxmlformats.org/officeDocument/2006/relationships" r:id="N1044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2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B9" Target="header1.xml" Type="http://schemas.openxmlformats.org/officeDocument/2006/relationships/header"/><Relationship Id="N1044D" Target="footer1.xml" Type="http://schemas.openxmlformats.org/officeDocument/2006/relationships/footer"/><Relationship Id="N10342" Target="media/N1034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20" Target="media/N1042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