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na targach Interpack 2014 w Düsseldorfie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Pakowanie na niezrównanym poziomie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nieustannie zbliża wydajność maszyn pakujących do granic ich możliwości. Technologia reACTION pozwala B&amp;R skrócić czasy reakcji w automatyce przemysłowej do 1 μs. Dzięki temu możliwe jest przetwarzanie ekstremalnie krytycznych czasowo podprogramów zgodnych z IEC 61131, wykorzystując do tego standardowy sprzęt . Najnowsze rozwiązania B&amp;R dla branży pakującej zostaną przedstawione w dniach od 8 do 14 maja na targach interpack 2014 w Dusseldorfie (Hala A6 / Stoisko E62).</w:t>
      </w:r>
    </w:p>
    <w:p>
      <w:pPr>
        <w:pStyle w:val="par"/>
        <w:ind w:left="0"/>
      </w:pPr>
      <w:r>
        <w:rPr/>
        <w:t xml:space="preserve">Innowacyjne technologie automatyzacji B&amp;R ustanawiają zupełnie nowy poziom wydajności maszyn i linii technologicznych -  nie wspominając już o zwiększonej elastyczności i dostępności. Produkty B&amp;R można łatwo zintegrować z szerokim zakresem zaawansowanych technologii automatyzacji w maszynach pakujących, mając tu na uwadze m.in. usługi online, zaawansowaną technikę sterowania i robotykę, bezpieczeństwo, sysemy wizyjne i połączenie IT. Wydajność funkcji szybkich maszyn pakujących takich jak np. etykietowanie lub eliminowanie wybrakowanych produktów również została zwiększona - bez dodatkowych kosztów - dzięki zastosowaniu technologii  reACTION i NetTime.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elastyczność</w:t>
      </w:r>
    </w:p>
    <w:p>
      <w:pPr>
        <w:pStyle w:val="par"/>
        <w:ind w:left="0"/>
      </w:pPr>
      <w:r>
        <w:rPr/>
        <w:t xml:space="preserve">Linie pakujące wymagają wyjątkowych poziomów produktywności i elastyczności w ujęciu ogólnym - począwszy od pierwszo i drugorzędnych rozwiązań aż do wyposażenia końcowego. Modułowa konstrukcja z komponentami sterowania i napędu zainstalowanymi bezpośrednio na korpusie maszyny - lub nawet na jej ruchomych częściach. B&amp;R łaczy maksymalną wydajność, wyjątkową elastyczność i prawdziwą otwartość w napędach serwo o stopniu ochrony IP65 ACOPOSremote  i napędzie serwo zintegrowanym z silnikiem ACOPOSmotor, jak i w modułach I/O i bezpiecznych modułach I/O serii X67, które można montować na maszynie.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815"/>
            <wp:effectExtent b="0" l="0" r="0" t="0"/>
            <wp:docPr id="1" name="inter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pac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Dla maszyn pakujących technologia reACTION oznacza duże korzyści, gdyż pozwala skrócić czasy reakcji w automatyce przemysłowej do 1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