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X20 system from B&amp;R receives ATEX and HazLoc certification</w:t>
      </w:r>
    </w:p>
    <w:p>
      <w:pPr>
        <w:pStyle w:val="label-first"/>
        <w:keepNext/>
        <w:ind w:left="0"/>
      </w:pPr>
      <w:r>
        <w:rPr>
          <w:b/>
          <w:sz w:val="20"/>
        </w:rPr>
        <w:t xml:space="preserve">Control for Zone 2 </w:t>
      </w:r>
    </w:p>
    <w:p>
      <w:pPr>
        <w:pStyle w:val="par-first"/>
        <w:ind w:left="0"/>
        <w:jc w:val="left"/>
      </w:pPr>
      <w:r>
        <w:rPr>
          <w:i/>
          <w:i/>
        </w:rPr>
        <w:t xml:space="preserve">Modules from B&amp;R's X20 controller system are now certified for ATEX Zone 2 and HazLoc Division 2 environments. These modules can now be used in locations where explosive atmospheres may temporarily occur in the event of an error.</w:t>
      </w:r>
    </w:p>
    <w:p>
      <w:pPr>
        <w:pStyle w:val="par"/>
        <w:ind w:left="0"/>
      </w:pPr>
      <w:r>
        <w:rPr/>
        <w:t xml:space="preserve">This certification is required, for example, in bottling plants for high-proof alcohol, spirits and cleaning agents. Heating and air conditioning equipment may also fall under the ATEX directive in the European Union or the ANSI/ISA 12.12.01-2007 standard in the USA. The same applies to a wide variety of other applications in the chemical and pharmaceutical industries.</w:t>
      </w:r>
    </w:p>
    <w:p/>
    <w:bookmarkStart w:id="4" w:name="_XREFN1009B"/>
    <w:bookmarkStart w:id="5" w:name="_XREFN100A0"/>
    <w:p>
      <w:pPr>
        <w:keepNext/>
        <w:spacing w:after="20" w:before="0"/>
        <w:ind w:left="0"/>
      </w:pPr>
      <w:r>
        <w:drawing>
          <wp:inline xmlns:wp="http://schemas.openxmlformats.org/drawingml/2006/wordprocessingDrawing" distB="0" distL="0" distR="0" distT="0">
            <wp:extent cx="3600000" cy="2700762"/>
            <wp:effectExtent b="0" l="0" r="0" t="0"/>
            <wp:docPr id="1" name="a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ex"/>
                    <pic:cNvPicPr/>
                  </pic:nvPicPr>
                  <pic:blipFill>
                    <a:blip xmlns:r="http://schemas.openxmlformats.org/officeDocument/2006/relationships" cstate="print" r:embed="N10366"/>
                    <a:stretch>
                      <a:fillRect/>
                    </a:stretch>
                  </pic:blipFill>
                  <pic:spPr>
                    <a:xfrm>
                      <a:off x="0" y="0"/>
                      <a:ext cx="3600000" cy="2700762"/>
                    </a:xfrm>
                    <a:prstGeom prst="rect">
                      <a:avLst/>
                    </a:prstGeom>
                  </pic:spPr>
                </pic:pic>
              </a:graphicData>
            </a:graphic>
          </wp:inline>
        </w:drawing>
      </w:r>
    </w:p>
    <w:p>
      <w:pPr>
        <w:pStyle w:val="media-caption"/>
        <w:ind w:left="0"/>
      </w:pPr>
      <w:r>
        <w:t xml:space="preserve">Modules from the X20 system are certified in accordance with the ATEX directive for use in zones where explosive atmospheres may temporarily occur.</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E7" w:type="default"/>
      <w:footerReference xmlns:r="http://schemas.openxmlformats.org/officeDocument/2006/relationships" r:id="N1047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7" Target="header1.xml" Type="http://schemas.openxmlformats.org/officeDocument/2006/relationships/header"/><Relationship Id="N1047B" Target="footer1.xml" Type="http://schemas.openxmlformats.org/officeDocument/2006/relationships/footer"/><Relationship Id="N10366" Target="media/N1036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E" Target="media/N1044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