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système X20 de B&amp;R reçoit les certifications ATEX et HazLoc</w:t>
      </w:r>
    </w:p>
    <w:p>
      <w:pPr>
        <w:pStyle w:val="label-first"/>
        <w:keepNext/>
        <w:ind w:left="0"/>
      </w:pPr>
      <w:r>
        <w:rPr>
          <w:b/>
          <w:sz w:val="20"/>
        </w:rPr>
        <w:t xml:space="preserve">Contrôle pour Zone 2</w:t>
      </w:r>
    </w:p>
    <w:p>
      <w:pPr>
        <w:pStyle w:val="par-first"/>
        <w:ind w:left="0"/>
        <w:jc w:val="left"/>
      </w:pPr>
      <w:r>
        <w:rPr>
          <w:i/>
          <w:i/>
        </w:rPr>
        <w:t xml:space="preserve">Les modules du système de contrôle X20 de B&amp;R sont désormais certifiés pour les environnements ATEX Zone 2 et HazLoc Division 2. Ils peuvent donc être utilisés dans les zones où une atmosphère explosive de courte durée est susceptible de se former en cas de dysfonctionnement.</w:t>
      </w:r>
    </w:p>
    <w:p>
      <w:pPr>
        <w:pStyle w:val="par"/>
        <w:ind w:left="0"/>
      </w:pPr>
      <w:r>
        <w:rPr/>
        <w:t xml:space="preserve">Cette certification est requise, par exemple, dans les usines d'embouteillage où sont conditionnés des produits à haute teneur en alcool comme les spiritueux et les détergents. La directive ATEX de l'union européenne (ou la norme américaine ANSI/ISA 12.12.01-2007) peut également s'appliquer aux équipements de chauffage et de climatisation. Il en est de même aussi pour bon nombre d'applications dans les industries chimique et pharmaceutique.</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x"/>
                    <pic:cNvPicPr/>
                  </pic:nvPicPr>
                  <pic:blipFill>
                    <a:blip xmlns:r="http://schemas.openxmlformats.org/officeDocument/2006/relationships" cstate="print" r:embed="N10366"/>
                    <a:stretch>
                      <a:fillRect/>
                    </a:stretch>
                  </pic:blipFill>
                  <pic:spPr>
                    <a:xfrm>
                      <a:off x="0" y="0"/>
                      <a:ext cx="3600000" cy="2700762"/>
                    </a:xfrm>
                    <a:prstGeom prst="rect">
                      <a:avLst/>
                    </a:prstGeom>
                  </pic:spPr>
                </pic:pic>
              </a:graphicData>
            </a:graphic>
          </wp:inline>
        </w:drawing>
      </w:r>
    </w:p>
    <w:p>
      <w:pPr>
        <w:pStyle w:val="media-caption"/>
        <w:ind w:left="0"/>
      </w:pPr>
      <w:r>
        <w:t xml:space="preserve">Les modules du système X20 sont certifiés ATEX pour l'utilisation en zone momentanément explosive.</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