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 sistema X20 da B&amp;R recebe a certificação ATEX e HazLoc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Controle para a Zona 2 </w:t>
      </w:r>
    </w:p>
    <w:p>
      <w:pPr>
        <w:pStyle w:val="par-first"/>
        <w:ind w:left="0"/>
        <w:jc w:val="left"/>
      </w:pPr>
      <w:r>
        <w:rPr>
          <w:i/>
          <w:i/>
        </w:rPr>
        <w:t xml:space="preserve">Os módulos do sistema de controle X20 da B&amp;R agora estão certificados para os ambientes ATEX Zone 2 e HazLoc Division 2. Esses módulos podem agora ser usados em locais onde atmosferas explosivas podem ocorrer temporariamente em caso de erro.</w:t>
      </w:r>
    </w:p>
    <w:p>
      <w:pPr>
        <w:pStyle w:val="par"/>
        <w:ind w:left="0"/>
      </w:pPr>
      <w:r>
        <w:rPr/>
        <w:t xml:space="preserve">Esta certificação é necessária, por exemplo, em instalações de engarrafamento para álcool, aguardentes e agentes de limpeza de alta resistência. Os equipamentos de aquecimento e ar condicionado também podem ser abrangidos pela directiva ATEX na União Européia ou no padrão ANSI / ISA 12.12.01-2007 nos EUA. O mesmo se aplica a uma grande variedade de outras aplicações nas indústrias química e farmacêutica.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ex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módulos do sistema X20 são certificados de acordo com a diretiva ATEX para uso em zonas onde as atmosferas explosivas podem ocorrer temporariamente.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