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Система X20 от B&amp;R сертифицирована на соответствие стандартам ATEX и HazLoc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Управление в Зоне 2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Модули контроллеров системы X20 от B&amp;R теперь соответствуют требованиям стандартов ATEX для Зоны 2 и HazLoc  для Division 2. Теперь данные модули можно использовать в зонах, где в случае аварии потенциально может возникнуть опасность взрыва.</w:t>
      </w:r>
    </w:p>
    <w:p>
      <w:pPr>
        <w:pStyle w:val="par"/>
        <w:ind w:left="0"/>
      </w:pPr>
      <w:r>
        <w:rPr/>
        <w:t xml:space="preserve">Подобная сертификация требуется, например, на линиях розлива крепкого алкоголя, спиртов и чистящих средств. Обогревательное оборудование и системы кондиционирования могут так же требовать соответствия директивам ATEX в ЕС или  ANSI/ISA 12.12.01-2007 в США. Те же требования возникают на многих предприятиях химической промышленности или фармацевтики.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x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Модули системы X20 сертифицированы в соответствии с директивой ATEX для использования в зонах с потенциально взрывоопасной атмосферой.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