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Сверхкомпактные модули системы X20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Модули предоставляют функциональную возможность переключения до 2-х ампер в компактном корпусе.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совершила новый шаг на пути миниатюризации управляющих систем и представляет два новых компактных модуля серии X20. Модуль X20DO8323 состоит из восьми двухтактных выходов в форм-факторе Х20, а модуль X20DO6639 - из шести релейных модулей на 30 В пост. тока или 230 В переменного тока.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До восьми двигателей</w:t>
      </w:r>
    </w:p>
    <w:p>
      <w:pPr>
        <w:pStyle w:val="par"/>
        <w:ind w:left="0"/>
      </w:pPr>
      <w:r>
        <w:rPr/>
        <w:t xml:space="preserve">Дискретные выходы модуля DO8323 изолированы и могут подключаться по высокому, низкому напряжению и как двухтактные выходы.  Таким образом, этот модуль подходит для управления двигателями постоянного тока (до 4-х одновременно) при мостовой схеме подключения с номинальным напряжением от 12 до 24 В постоянного тока и силой тока до 0,5 А. Управление восемью двигателями возможно в полумостовом режиме.</w:t>
      </w:r>
    </w:p>
    <w:p>
      <w:pPr>
        <w:pStyle w:val="par"/>
        <w:ind w:left="0"/>
      </w:pPr>
      <w:r>
        <w:rPr/>
        <w:t xml:space="preserve">Модуль DO6639 имеет 6 изолированных реле с нормально открытыми контактами. Модули рассчитаны на нагрузку в 2 А при 30 В постоянного токи или 230 В переменного тока. Таким образом. компании B&amp;R удалось значительно уменьшить размеры реле на 230 В переменного тока.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PR13189_DO push pull outputs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189_DO push pull outputs - Print (CMYK)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представляет два новых компактных модуля ввода/ вывода серии Х20.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