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Технологии B&amp;R для нефтегазовой промышленности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Приглашаем посетить выставку "НЕФТЕГАЗ -2014" в Москве.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Австрийская компания Bernecker &amp; Rainer (B&amp;R) выражает Вам свое почтение и приглашает Вас посетить стенд нашей компании на выставке </w:t>
      </w:r>
      <w:r>
        <w:rPr>
          <w:b/>
          <w:i/>
          <w:i/>
        </w:rPr>
        <w:t xml:space="preserve">«Нефтегаз - 2014»</w:t>
      </w:r>
      <w:r>
        <w:rPr>
          <w:i/>
          <w:i/>
        </w:rPr>
        <w:t xml:space="preserve">.      </w:t>
      </w:r>
    </w:p>
    <w:p>
      <w:pPr>
        <w:pStyle w:val="par"/>
        <w:ind w:left="0"/>
      </w:pPr>
      <w:r>
        <w:rPr/>
        <w:t xml:space="preserve">Выставка состоиться в г.Москве, на территории ЦВК "Экспоцентр" на Красной Пресне в период с 26 по 29 мая.      </w:t>
      </w:r>
    </w:p>
    <w:p>
      <w:pPr>
        <w:pStyle w:val="par"/>
        <w:ind w:left="0"/>
      </w:pPr>
      <w:r>
        <w:rPr/>
        <w:t xml:space="preserve">На нашем стенде Вы сможете ознакомиться с новинками продукции компании B&amp;R:        </w:t>
      </w:r>
    </w:p>
    <w:p>
      <w:pPr>
        <w:pStyle w:val="par"/>
        <w:ind w:left="0"/>
      </w:pPr>
      <w:r>
        <w:rPr/>
        <w:t xml:space="preserve">- Система распределенного управления технологическими процессами APROL 4       </w:t>
      </w:r>
    </w:p>
    <w:p>
      <w:pPr>
        <w:pStyle w:val="par"/>
        <w:ind w:left="0"/>
      </w:pPr>
      <w:r>
        <w:rPr/>
        <w:t xml:space="preserve">- Мониторинг состояния технологического оборудования - готовые решения от B&amp;R      </w:t>
      </w:r>
    </w:p>
    <w:p>
      <w:pPr>
        <w:pStyle w:val="par"/>
        <w:ind w:left="0"/>
      </w:pPr>
      <w:r>
        <w:rPr/>
        <w:t xml:space="preserve"> - Локальные системы управления нефтегазовым оборудованием, включая системы ПАЗ      </w:t>
      </w:r>
    </w:p>
    <w:p>
      <w:pPr>
        <w:pStyle w:val="par"/>
        <w:ind w:left="0"/>
      </w:pPr>
      <w:r>
        <w:rPr/>
        <w:t xml:space="preserve"> - Новые ЦПУ системы Х20 и панели оператора Т- и С-серий - оптимальное решение          </w:t>
      </w:r>
    </w:p>
    <w:p>
      <w:pPr>
        <w:pStyle w:val="par"/>
        <w:ind w:left="0"/>
      </w:pPr>
      <w:r>
        <w:rPr/>
        <w:t xml:space="preserve">Вся представленная продукция широко и успешно применяется на всех этапах добычи полезных ископаемых, переработке и транспортировке нефти и газа.   </w:t>
      </w:r>
    </w:p>
    <w:p>
      <w:pPr>
        <w:pStyle w:val="par"/>
        <w:ind w:left="0"/>
      </w:pPr>
      <w:r>
        <w:rPr/>
        <w:t xml:space="preserve">Богатейший опыт решений для производств различного типа позволяет нам заслуженно гордиться разработками и инновационными технологиями, облегчающими труд работников нефтегазовой отрасли, как на суше, так и на море.       </w:t>
      </w:r>
    </w:p>
    <w:p>
      <w:pPr>
        <w:pStyle w:val="par"/>
        <w:ind w:left="0"/>
      </w:pPr>
      <w:r>
        <w:rPr/>
        <w:t xml:space="preserve">Наш стенд будет располагаться в павильоне 2, зале 3, стенд №23B3</w:t>
      </w:r>
    </w:p>
    <w:p/>
    <w:bookmarkStart w:id="13" w:name="_XREFN1003B1367324902939"/>
    <w:bookmarkStart w:id="14" w:name="_XREFN100401367324902939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1993900" cy="1993900"/>
            <wp:effectExtent b="0" l="0" r="0" t="0"/>
            <wp:docPr id="1" name="neftegaz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ftegaz_logo"/>
                    <pic:cNvPicPr/>
                  </pic:nvPicPr>
                  <pic:blipFill>
                    <a:blip xmlns:r="http://schemas.openxmlformats.org/officeDocument/2006/relationships" cstate="print" r:embed="N103F4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4"/>
    <w:bookmarkEnd w:id="13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A" w:type="default"/>
      <w:footerReference xmlns:r="http://schemas.openxmlformats.org/officeDocument/2006/relationships" r:id="N104F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A" Target="header1.xml" Type="http://schemas.openxmlformats.org/officeDocument/2006/relationships/header"/><Relationship Id="N104FE" Target="footer1.xml" Type="http://schemas.openxmlformats.org/officeDocument/2006/relationships/footer"/><Relationship Id="N103F4" Target="media/N103F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1" Target="media/N104D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