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Emballage à grande vitesse</w:t>
      </w:r>
    </w:p>
    <w:p>
      <w:pPr>
        <w:pStyle w:val="label-first"/>
        <w:keepNext/>
        <w:ind w:left="0"/>
      </w:pPr>
      <w:r>
        <w:rPr>
          <w:b/>
          <w:sz w:val="20"/>
        </w:rPr>
        <w:t xml:space="preserve">Les performances des machines d'emballage franchissent un nouveau pallier avec la technologie reACTION</w:t>
      </w:r>
    </w:p>
    <w:p>
      <w:pPr>
        <w:pStyle w:val="par-first"/>
        <w:ind w:left="0"/>
        <w:jc w:val="left"/>
      </w:pPr>
      <w:r>
        <w:rPr>
          <w:i/>
          <w:i/>
        </w:rPr>
        <w:t xml:space="preserve">La technologie reACTION de B&amp;R réduit les temps de réponse à 1 µs dans les automatismes industriels. Elle permet de traiter les processus intermédiaires temporellement critiques avec du matériel standard et en conformité avec l'IEC 61131 – le tout en réduisant la charge de l'automate et en augmentant les performances sans surcoût. Ceci répond aux besoins des machines d'emballages de haute technicité. </w:t>
      </w:r>
    </w:p>
    <w:p>
      <w:pPr>
        <w:pStyle w:val="label"/>
        <w:keepNext/>
        <w:ind w:left="0"/>
      </w:pPr>
      <w:r>
        <w:rPr>
          <w:b/>
          <w:sz w:val="20"/>
        </w:rPr>
        <w:t xml:space="preserve">Précision absolue pour les machines d'emballage</w:t>
      </w:r>
    </w:p>
    <w:p>
      <w:pPr>
        <w:pStyle w:val="par"/>
        <w:ind w:left="0"/>
      </w:pPr>
      <w:r>
        <w:rPr/>
        <w:t xml:space="preserve">Le conditionnement primaire est le plus grand défi à relever dans l'industrie de l'emballage. Dans ces machines, contenus et contenants convergent l'un vers l'autre à très grande vitesse. La précision a alors une incidence directe sur la qualité du produit et la consommation de matière première. Les lignes d'embouteillage peuvent tirer profit de la technologie reACTION pour, par exemple, coordonner les capteurs et les actionneurs avec une précision record d'1 µs.</w:t>
      </w:r>
    </w:p>
    <w:p>
      <w:pPr>
        <w:pStyle w:val="par"/>
        <w:ind w:left="0"/>
      </w:pPr>
      <w:r>
        <w:rPr/>
        <w:t xml:space="preserve">Dans les machines d'emballages, bon nombre de process ultra-rapides comme, par exemple, le marquage de codes ou la mise au rebut des produits non conformes peuvent combiner les technologies reACTION et NetTime pour synchroniser à la perfection les axes et les E/S distribuées. Les sorties peuvent être contrôlées avec une résolution de 125 ns, et les fronts d'entrée rapides générés par des marques d'impression ou des capteurs de détection de produits peuvent être horodatés à la microseconde près. La technologie reACTION se combine parfaitement avec le portfolio de B&amp;R et ses solutions d'automatisation hautement intégrées et évolutives. Les constructeurs de machines ont ainsi la possibilité d'atteindre des niveaux de performance insoupçonnés.</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3810"/>
            <wp:effectExtent b="0" l="0" r="0" t="0"/>
            <wp:docPr id="1" name="BuR_PR14045_reACTION in the packaging industry - Print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4045_reACTION in the packaging industry - Print (CMYK)"/>
                    <pic:cNvPicPr/>
                  </pic:nvPicPr>
                  <pic:blipFill>
                    <a:blip xmlns:r="http://schemas.openxmlformats.org/officeDocument/2006/relationships" cstate="print" r:embed="N1038B"/>
                    <a:stretch>
                      <a:fillRect/>
                    </a:stretch>
                  </pic:blipFill>
                  <pic:spPr>
                    <a:xfrm>
                      <a:off x="0" y="0"/>
                      <a:ext cx="3600000" cy="2703810"/>
                    </a:xfrm>
                    <a:prstGeom prst="rect">
                      <a:avLst/>
                    </a:prstGeom>
                  </pic:spPr>
                </pic:pic>
              </a:graphicData>
            </a:graphic>
          </wp:inline>
        </w:drawing>
      </w:r>
    </w:p>
    <w:p>
      <w:pPr>
        <w:pStyle w:val="media-caption"/>
        <w:ind w:left="0"/>
      </w:pPr>
      <w:r>
        <w:t xml:space="preserve">La technologie reACTION de B&amp;R accroît les performances des machines d'emballage hautes cadences.</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