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Comunicación abierta para la Industria 4.0</w:t>
      </w:r>
    </w:p>
    <w:p>
      <w:pPr>
        <w:pStyle w:val="label-first"/>
        <w:keepNext/>
        <w:ind w:left="0"/>
      </w:pPr>
      <w:r>
        <w:rPr>
          <w:b/>
          <w:sz w:val="20"/>
        </w:rPr>
        <w:t xml:space="preserve">Funciones adicionales de OPC UA en Automation Studio.</w:t>
      </w:r>
    </w:p>
    <w:p>
      <w:pPr>
        <w:pStyle w:val="par-first"/>
        <w:ind w:left="0"/>
        <w:jc w:val="left"/>
      </w:pPr>
      <w:r>
        <w:rPr>
          <w:i/>
          <w:i/>
        </w:rPr>
        <w:t xml:space="preserve">B&amp;R sigue avanzando en la integración de OPC UA en el software de desarrollo Automation Studio. Con POWERLINK, openSAFETY y OPC UA, B&amp;R ofrece a sus clientes las herramientas perfectas para satisfacer las altas exigencias de la Industria 4.0.</w:t>
      </w:r>
    </w:p>
    <w:p>
      <w:pPr>
        <w:pStyle w:val="par"/>
        <w:ind w:left="0"/>
      </w:pPr>
      <w:r>
        <w:rPr/>
        <w:t xml:space="preserve">Automation Studio ofrece soporte para los clientes y servidores OPC UA directamente en el controlador, lo cual permite una comunicación vertical con sistemas SCADA, MES y ERP, así como una comunicación de PLC a PLC independiente del proveedor. Con los nuevos bloques de funciones del cliente OPC compatibles con PLCopen, esta comunicación se puede implementar fácilmente en el software de la aplicación, independientemente del hardware que se utilice. Con el soporte de las suscripciones OPC UA, es posible transferir mayor cantidad de datos en un tiempo inferior. </w:t>
      </w:r>
    </w:p>
    <w:p>
      <w:pPr>
        <w:pStyle w:val="label"/>
        <w:keepNext/>
        <w:ind w:left="0"/>
      </w:pPr>
      <w:r>
        <w:rPr>
          <w:b/>
          <w:sz w:val="20"/>
        </w:rPr>
        <w:t xml:space="preserve">Desarrollo totalmente eficiente</w:t>
      </w:r>
    </w:p>
    <w:p>
      <w:pPr>
        <w:pStyle w:val="par"/>
        <w:ind w:left="0"/>
      </w:pPr>
      <w:r>
        <w:rPr/>
        <w:t xml:space="preserve">OPC UA se ha normalizado en cumplimiento de la normativa IEC 62541 y ofrece funciones fáciles de utilizar para el intercambio de datos con independencia del proveedor. Esto aporta facilidad a los desarrolladores de software a la hora de diseñar sistemas complejos con altas demandas de comunicación de datos. El resultado: la implementación de soluciones de automatización flexibles y modulares con total facilidad.</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R OPC_UA CMYK #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OPC_UA CMYK #3 hir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Los controladores de B&amp;R se pueden implementar como servidores OPC UA y como clientes OPC UA.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