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Default ContentType="image/jpeg" Extension="jpg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extended-properties+xml" PartName="/docProps/app.xml"/>
  <Override ContentType="application/vnd.openxmlformats-officedocument.wordprocessingml.header+xml" PartName="/word/header1.xml"/>
  <Override ContentType="application/vnd.openxmlformats-officedocument.wordprocessingml.footer+xml" PartName="/word/footer1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</Types>
</file>

<file path=_rels/.rels><?xml version="1.0" encoding="UTF-8"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/Relationships>
</file>

<file path=word/document.xml><?xml version="1.0" encoding="utf-8"?>
<w:document xmlns:w="http://schemas.openxmlformats.org/wordprocessingml/2006/main">
  <w:body>
    <w:p>
      <w:pPr>
        <w:pStyle w:val="headline-content-0"/>
        <w:keepNext/>
      </w:pPr>
      <w:r>
        <w:rPr>
          <w:rStyle w:val="headline-content-run0"/>
          <w:b/>
          <w:sz w:val="24"/>
        </w:rPr>
        <w:t xml:space="preserve">Další velký úspěch na setkání uživatelů B&amp;R v Shanghaji</w:t>
      </w:r>
    </w:p>
    <w:p>
      <w:pPr>
        <w:pStyle w:val="label-first"/>
        <w:keepNext/>
        <w:ind w:left="0"/>
      </w:pPr>
      <w:r>
        <w:rPr>
          <w:b/>
          <w:sz w:val="20"/>
        </w:rPr>
        <w:t xml:space="preserve">Otevřená automatizace - nevyhnutelná budoucnost</w:t>
      </w:r>
    </w:p>
    <w:p>
      <w:pPr>
        <w:pStyle w:val="par-first"/>
        <w:ind w:left="0"/>
        <w:jc w:val="left"/>
      </w:pPr>
      <w:r>
        <w:rPr>
          <w:i/>
          <w:i/>
        </w:rPr>
        <w:t xml:space="preserve">Více než 100 výrobců průmyslových strojů, koncových uživatelů a partnerů z Číny a Taiwanu se zúčastnilo setkání uživatelů B&amp;R v Šanghaji.  Setkání bylo zaměřeno na otevřenou automatizaci a na způsob, jak pružně reagovat na budoucí výzvy ve zpracovatelském průmyslu.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B&amp;R v čele na cestě k Industry 4.0</w:t>
      </w:r>
    </w:p>
    <w:p>
      <w:pPr>
        <w:pStyle w:val="par"/>
        <w:ind w:left="0"/>
      </w:pPr>
      <w:r>
        <w:rPr/>
        <w:t xml:space="preserve">Dr. Xiao Weirong, generální ředitel B&amp;R v Číně, zdůraznil, jak důležitý je pro výrobce průmyslových nástrojů pokrok v oblasti otevřené automatizace  a uvedl pět důležitých výhod, které otevřená automatizace poskytuje: otevřenou integraci, stálou technologii, zaměnitelnost, možnost budoucího vývoje a flexibilitu v reakcích na budoucnost.  "Otevřená automatizace slibuje výrobcům průmyslových nástrojů úžasné tržní příležitosti", říká Weirong.</w:t>
      </w:r>
    </w:p>
    <w:p>
      <w:pPr>
        <w:pStyle w:val="par"/>
        <w:ind w:left="0"/>
      </w:pPr>
      <w:r>
        <w:rPr/>
        <w:t xml:space="preserve">Franz Enhuber, prezident B&amp;R Automation Academy, představil podrobnou analýzu čtvrté průmyslové revoluce podle Industry 4.0 především v souvislosti s požadavky koncových uživatelů, ale i v souvislosti s příležitostmi a výzvami v automatizaci obohacené pokrokem v IT. “B&amp;R se ujala průkopnické role ve snaze pomoci průmyslu pochopit smysl projektu Industry 4.0”, vysvětlil Franz Enhuber.</w:t>
      </w:r>
    </w:p>
    <w:p>
      <w:pPr>
        <w:pStyle w:val="label"/>
        <w:keepNext/>
        <w:ind w:left="0"/>
      </w:pPr>
      <w:r>
        <w:rPr>
          <w:b/>
          <w:sz w:val="20"/>
        </w:rPr>
        <w:t xml:space="preserve">Otevřená vize představitelů průmyslu</w:t>
      </w:r>
    </w:p>
    <w:p>
      <w:pPr>
        <w:pStyle w:val="par"/>
        <w:ind w:left="0"/>
      </w:pPr>
      <w:r>
        <w:rPr/>
        <w:t xml:space="preserve">Vedoucí pracovníci z různých odvětví průmyslu vyjádřili svůj názor na témata jako management znalostí, školení, projektové řízení, obchodní operace a úspory energií a přednesli nejčastější problémy, se kterými se v současné době potýkají. Jejich otevřený postoj byl publikem přijat velmi pozitivně. “Vyšší úroveň otevřenosti automatizační techniky může přinést obrovské příležitosti”, vysvětlil Xiao Weirong  a dodal, že bude nutné udržet si celkový pohled na věc a položit základy architektury pro podporu neustálých inovací.</w:t>
      </w:r>
    </w:p>
    <w:p/>
    <w:bookmarkStart w:id="6" w:name="_XREFN1009B"/>
    <w:bookmarkStart w:id="7" w:name="_XREFN100A0"/>
    <w:p>
      <w:pPr>
        <w:keepNext/>
        <w:spacing w:after="20" w:before="0"/>
        <w:ind w:left="0"/>
      </w:pPr>
      <w:r>
        <w:drawing>
          <wp:inline xmlns:wp="http://schemas.openxmlformats.org/drawingml/2006/wordprocessingDrawing" distB="0" distL="0" distR="0" distT="0">
            <wp:extent cx="3600000" cy="2700762"/>
            <wp:effectExtent b="0" l="0" r="0" t="0"/>
            <wp:docPr id="1" name="UM_China_2013_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M_China_2013_CU"/>
                    <pic:cNvPicPr/>
                  </pic:nvPicPr>
                  <pic:blipFill>
                    <a:blip xmlns:r="http://schemas.openxmlformats.org/officeDocument/2006/relationships" cstate="print" r:embed="N103B0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2700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media-caption"/>
        <w:ind w:left="0"/>
      </w:pPr>
      <w:r>
        <w:t xml:space="preserve">Více než 100 výrobců průmyslových strojů, koncových uživatelů a partnerů z Číny a Taiwanu se zúčastnilo setkání uživatelů B&amp;R v Šanghaji na téma otevřené automatizace.</w:t>
      </w:r>
    </w:p>
    <w:bookmarkEnd w:id="7"/>
    <w:bookmarkEnd w:id="6"/>
    <w:p/>
    <w:p/>
    <w:p/>
    <w:p>
      <w:pPr>
        <w:pStyle w:val="headline-content-1"/>
        <w:keepNext/>
      </w:pPr>
      <w:r>
        <w:rPr>
          <w:rStyle w:val="headline-content-run1"/>
          <w:sz w:val="16"/>
        </w:rPr>
        <w:t xml:space="preserve">O společnosti B&amp;R </w:t>
      </w:r>
    </w:p>
    <w:p>
      <w:pPr>
        <w:pStyle w:val="par"/>
        <w:ind w:left="0"/>
      </w:pPr>
      <w:r>
        <w:rPr>
          <w:sz w:val="16"/>
        </w:rPr>
        <w:t xml:space="preserve">Společnost B&amp;R, jako jedna z divizí skupiny ABB, je celosvětovým lídrem v oblasti průmyslové automatizace se sídlem v Rakousku.  B&amp;R kombinuje nejmodernější technologie s pokročilým inženýrstvím a poskytuje zákazníkům v téměř každém průmyslovém odvětví kompletní řešení pro automatizaci strojů a výrobních zařízení, řízení pohybu, HMI a integrovanou bezpečnostní techniku. Díky komunikačním standardům pro průmyslový internet věcí, včetně OPC UA, POWERLINK a openSAFETY, a svému vývojovému prostředí Automation Studio B&amp;R neustále stanovuje trendy v automatizaci. Inovativní duch, který udržuje společnost B&amp;R na špici průmyslové automatizace, je poháněn závazkem zjednodušovat procesy a překonávat očekávání zákazníků. Další informace naleznete na adrese www.br-automation.com. </w:t>
      </w:r>
    </w:p>
    <w:p>
      <w:pPr>
        <w:pStyle w:val="par"/>
        <w:ind w:left="0"/>
      </w:pPr>
      <w:r>
        <w:rPr>
          <w:sz w:val="16"/>
        </w:rPr>
        <w:t xml:space="preserve">Více informací najdete na www.br-automation.com </w:t>
      </w:r>
    </w:p>
    <w:sectPr>
      <w:headerReference xmlns:r="http://schemas.openxmlformats.org/officeDocument/2006/relationships" r:id="N10431" w:type="default"/>
      <w:footerReference xmlns:r="http://schemas.openxmlformats.org/officeDocument/2006/relationships" r:id="N104C5" w:type="default"/>
      <w:type w:val="continuous"/>
      <w:pgSz w:code="9" w:h="16839" w:w="11907"/>
      <w:pgMar w:bottom="1984" w:footer="567" w:header="567" w:left="1134" w:right="1134" w:top="2268"/>
    </w:sectPr>
  </w:body>
</w:document>
</file>

<file path=word/footer1.xml><?xml version="1.0" encoding="utf-8"?>
<w:ftr xmlns:w="http://schemas.openxmlformats.org/wordprocessingml/2006/main">
  <w:tbl>
    <w:tblPr>
      <w:tblW w:type="dxa" w:w="9638"/>
      <w:tblInd w:type="dxa" w:w="0"/>
      <w:tblLayout w:type="fixed"/>
    </w:tblPr>
    <w:tblGrid>
      <w:gridCol w:w="4819"/>
      <w:gridCol w:w="4819"/>
    </w:tblGrid>
    <w:tr>
      <w:trPr>
        <w:trHeight w:hRule="exact" w:val="1417"/>
      </w:trPr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ind w:left="0"/>
            <w:jc w:val="left"/>
          </w:pPr>
          <w:r>
            <w:rPr>
              <w:sz w:val="14"/>
            </w:rPr>
            <w:t>Kontakt na tiskové oddělení</w:t>
          </w:r>
          <w:r>
            <w:rPr>
              <w:sz w:val="14"/>
            </w:rPr>
            <w:t xml:space="preserve">:</w:t>
          </w:r>
          <w:r>
            <w:br w:type="textWrapping"/>
          </w:r>
          <w:r>
            <w:br w:type="textWrapping"/>
          </w:r>
          <w:r>
            <w:br w:type="textWrapping"/>
          </w:r>
          <w:r>
            <w:rPr>
              <w:sz w:val="14"/>
            </w:rPr>
            <w:t xml:space="preserve">press@br-automation.com</w:t>
          </w:r>
          <w:r>
            <w:br w:type="textWrapping"/>
          </w:r>
          <w:r>
            <w:br w:type="textWrapping"/>
          </w:r>
        </w:p>
      </w:tc>
      <w:tc>
        <w:tcPr>
          <w:tcW w:type="dxa" w:w="4819"/>
          <w:tcMar>
            <w:top w:type="dxa" w:w="226"/>
            <w:left w:type="dxa" w:w="0"/>
            <w:right w:type="dxa" w:w="0"/>
          </w:tcMar>
          <w:vAlign w:val="top"/>
        </w:tcPr>
        <w:p>
          <w:pPr>
            <w:pStyle w:val="footer"/>
            <w:spacing w:after="0"/>
            <w:ind w:left="0"/>
            <w:jc w:val="right"/>
          </w:pPr>
          <w:r>
            <w:br w:type="textWrapping"/>
          </w:r>
          <w:r>
            <w:rPr>
              <w:sz w:val="14"/>
            </w:rPr>
            <w:t>Strana</w:t>
          </w:r>
          <w:r>
            <w:rPr>
              <w:rFonts w:ascii="Arial" w:hAnsi="Arial"/>
            </w:rPr>
            <w:t> </w:t>
          </w:r>
          <w:r>
            <w:rPr>
              <w:b/>
              <w:sz w:val="14"/>
            </w:rPr>
            <w:fldChar w:fldCharType="begin"/>
            <w:instrText xml:space="preserve"> PAGE \* Arabic </w:instrText>
            <w:fldChar w:fldCharType="end"/>
          </w:r>
          <w:r>
            <w:rPr>
              <w:b/>
              <w:sz w:val="14"/>
            </w:rPr>
            <w:t xml:space="preserve">/</w:t>
          </w:r>
          <w:r>
            <w:rPr>
              <w:b/>
              <w:sz w:val="14"/>
            </w:rPr>
            <w:fldChar w:fldCharType="begin"/>
            <w:instrText xml:space="preserve"> NUMPAGES   \* MERGEFORMAT </w:instrText>
            <w:fldChar w:fldCharType="end"/>
          </w:r>
        </w:p>
      </w:tc>
    </w:tr>
  </w:tbl>
</w:ftr>
</file>

<file path=word/footnotes.xml><?xml version="1.0" encoding="utf-8"?>
<w:footnotes xmlns:w="http://schemas.openxmlformats.org/wordprocessingml/2006/main"/>
</file>

<file path=word/header1.xml><?xml version="1.0" encoding="utf-8"?>
<w:hdr xmlns:w="http://schemas.openxmlformats.org/wordprocessingml/2006/main">
  <w:tbl>
    <w:tblPr>
      <w:tblW w:type="dxa" w:w="9638"/>
      <w:tblInd w:type="dxa" w:w="0"/>
      <w:tblLayout w:type="fixed"/>
    </w:tblPr>
    <w:tblGrid>
      <w:gridCol w:w="5783"/>
      <w:gridCol w:w="3855"/>
    </w:tblGrid>
    <w:tr>
      <w:trPr/>
      <w:tc>
        <w:tcPr>
          <w:tcW w:type="dxa" w:w="5783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"/>
            <w:spacing w:after="0"/>
            <w:ind w:left="0"/>
            <w:jc w:val="left"/>
          </w:pPr>
          <w:r>
            <w:rPr>
              <w:b/>
              <w:color w:val="000000"/>
              <w:sz w:val="32"/>
            </w:rPr>
            <w:t>Tisková zpráva</w:t>
          </w:r>
        </w:p>
      </w:tc>
      <w:tc>
        <w:tcPr>
          <w:tcW w:type="dxa" w:w="3855"/>
          <w:shd w:fill="FFFFFF" w:val="clear"/>
          <w:tcMar>
            <w:top w:type="dxa" w:w="226"/>
            <w:left w:type="dxa" w:w="0"/>
            <w:bottom w:type="dxa" w:w="226"/>
            <w:right w:type="dxa" w:w="0"/>
          </w:tcMar>
          <w:vAlign w:val="bottom"/>
        </w:tcPr>
        <w:p>
          <w:pPr>
            <w:pStyle w:val="header-logo"/>
            <w:spacing w:after="0"/>
            <w:ind w:left="0"/>
            <w:jc w:val="right"/>
          </w:pPr>
          <w:r>
            <w:drawing>
              <wp:inline xmlns:wp="http://schemas.openxmlformats.org/drawingml/2006/wordprocessingDrawing" distB="0" distL="0" distR="0" distT="0">
                <wp:extent cx="1505712" cy="518160"/>
                <wp:effectExtent b="0" l="0" r="0" t="0"/>
                <wp:docPr id="2" name="logo 202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2022"/>
                        <pic:cNvPicPr/>
                      </pic:nvPicPr>
                      <pic:blipFill>
                        <a:blip xmlns:r="http://schemas.openxmlformats.org/officeDocument/2006/relationships" cstate="print" r:embed="N10498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5712" cy="5181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hdr>
</file>

<file path=word/numbering.xml><?xml version="1.0" encoding="utf-8"?>
<w:numbering xmlns:w="http://schemas.openxmlformats.org/wordprocessingml/2006/main">
  <w:abstractNum w:abstractNumId="2">
    <w:nsid w:val="0E6454FE"/>
    <w:multiLevelType w:val="multilevel"/>
    <w:tmpl w:val="D386552E"/>
    <w:lvl w:ilvl="0">
      <w:start w:val="1"/>
      <w:pStyle w:val="headline-content-1"/>
      <w:suff w:val="tab"/>
      <w:lvlText w:val="%1"/>
      <w:lvlJc w:val="left"/>
      <w:pPr>
        <w:tabs>
          <w:tab w:pos="1417.5" w:val="num"/>
        </w:tabs>
        <w:ind w:hanging="1417.5" w:left="1417.5"/>
      </w:pPr>
    </w:lvl>
    <w:lvl w:ilvl="1">
      <w:start w:val="1"/>
      <w:suff w:val="tab"/>
      <w:lvlText w:val="%1.%2"/>
      <w:lvlJc w:val="left"/>
      <w:pPr>
        <w:tabs>
          <w:tab w:pos="1417.5" w:val="num"/>
        </w:tabs>
        <w:ind w:hanging="1417.5" w:left="1417.5"/>
      </w:pPr>
    </w:lvl>
    <w:lvl w:ilvl="2">
      <w:start w:val="1"/>
      <w:suff w:val="tab"/>
      <w:lvlText w:val="%1.%2.%3"/>
      <w:lvlJc w:val="left"/>
      <w:pPr>
        <w:tabs>
          <w:tab w:pos="1417.5" w:val="num"/>
        </w:tabs>
        <w:ind w:hanging="1417.5" w:left="1417.5"/>
      </w:pPr>
    </w:lvl>
    <w:lvl w:ilvl="3">
      <w:start w:val="1"/>
      <w:suff w:val="tab"/>
      <w:lvlText w:val="%1.%2.%3.%4"/>
      <w:lvlJc w:val="left"/>
      <w:pPr>
        <w:tabs>
          <w:tab w:pos="1417.5" w:val="num"/>
        </w:tabs>
        <w:ind w:hanging="1417.5" w:left="1417.5"/>
      </w:pPr>
    </w:lvl>
    <w:lvl w:ilvl="4">
      <w:start w:val="1"/>
      <w:suff w:val="tab"/>
      <w:lvlText w:val="%1.%2.%3.%4.%5"/>
      <w:lvlJc w:val="left"/>
      <w:pPr>
        <w:tabs>
          <w:tab w:pos="1417.5" w:val="num"/>
        </w:tabs>
        <w:ind w:hanging="1417.5" w:left="1417.5"/>
      </w:pPr>
    </w:lvl>
    <w:lvl w:ilvl="5">
      <w:start w:val="1"/>
      <w:suff w:val="tab"/>
      <w:lvlText w:val="%1.%2.%3.%4.%5.%6"/>
      <w:lvlJc w:val="left"/>
      <w:pPr>
        <w:tabs>
          <w:tab w:pos="1417.5" w:val="num"/>
        </w:tabs>
        <w:ind w:hanging="1417.5" w:left="1417.5"/>
      </w:pPr>
    </w:lvl>
    <w:lvl w:ilvl="6">
      <w:start w:val="1"/>
      <w:suff w:val="tab"/>
      <w:lvlText w:val="%1.%2.%3.%4.%5.%6.%7"/>
      <w:lvlJc w:val="left"/>
      <w:pPr>
        <w:tabs>
          <w:tab w:pos="1417.5" w:val="num"/>
        </w:tabs>
        <w:ind w:hanging="1417.5" w:left="1417.5"/>
      </w:pPr>
    </w:lvl>
    <w:lvl w:ilvl="7">
      <w:start w:val="1"/>
      <w:suff w:val="tab"/>
      <w:lvlText w:val="%1.%2.%3.%4.%5.%6.%7.%8"/>
      <w:lvlJc w:val="left"/>
      <w:pPr>
        <w:tabs>
          <w:tab w:pos="1417.5" w:val="num"/>
        </w:tabs>
        <w:ind w:hanging="1417.5" w:left="1417.5"/>
      </w:pPr>
    </w:lvl>
  </w:abstractNum>
  <w:abstractNum w:abstractNumId="6">
    <w:multiLevelType w:val="hybridMultilevel"/>
    <w:lvl w:ilvl="0" w:tplc="CB7E2DBC">
      <w:start w:val="1"/>
      <w:numFmt w:val="bullet"/>
      <w:lvlText w:val="►"/>
      <w:lvlJc w:val="left"/>
      <w:pPr>
        <w:ind w:hanging="360" w:left="720"/>
      </w:pPr>
      <w:rPr>
        <w:rFonts w:ascii="Arial" w:eastAsia="AR PL KaitiM Big5" w:hAnsi="Arial" w:hint="default"/>
        <w:color w:val="97AA61"/>
        <w:sz w:val="16"/>
      </w:rPr>
    </w:lvl>
  </w:abstractNum>
  <w:num w:numId="3">
    <w:abstractNumId w:val="2"/>
  </w:num>
  <w:num w:numId="7">
    <w:abstractNumId w:val="6"/>
  </w:num>
  <w:numIdMacAtCleanup w:val="12"/>
</w:numbering>
</file>

<file path=word/settings.xml><?xml version="1.0" encoding="utf-8"?>
<w:settings xmlns:w="http://schemas.openxmlformats.org/wordprocessingml/2006/main">
  <w:view w:val="print"/>
  <w:zoom w:percent="100"/>
  <w:embedSystemFonts w:val="off"/>
  <w:defaultTabStop w:val="708"/>
  <w:autoHyphenation/>
  <w:hyphenationZone w:val="425"/>
  <w:noPunctuationKerning w:val="on"/>
  <w:characterSpacingControl w:val="doNotCompress"/>
  <w:ignoreMixedContent w:val="off"/>
  <w:alwaysShowPlaceholderText w:val="off"/>
  <w:compat>
    <w:suppressTopSpacing w:val="on"/>
    <w:suppressSpBfAfterPgBrk w:val="on"/>
    <w:doNotBreakWrappedTables w:val="off"/>
    <w:doNotSnapToGridInCell w:val="off"/>
    <w:doNotWrapTextWithPunct w:val="off"/>
    <w:doNotUseEastAsianBreakRules w:val="off"/>
    <w:growAutofit w:val="off"/>
  </w:compat>
</w:settings>
</file>

<file path=word/styles.xml><?xml version="1.0" encoding="utf-8"?>
<w:styles xmlns:w="http://schemas.openxmlformats.org/wordprocessingml/2006/main">
  <w:docDefaults>
    <w:rPrDefault>
      <w:rPr/>
    </w:rPrDefault>
    <w:pPrDefault>
      <w:pPr/>
    </w:pPrDefault>
  </w:docDefaults>
  <w:style w:default="on" w:styleId="default" w:type="paragraph">
    <w:name w:val="default"/>
    <w:pPr>
      <w:jc w:val="left"/>
    </w:pPr>
    <w:rPr>
      <w:rFonts w:ascii="Arial" w:hAnsi="Arial"/>
      <w:sz w:val="20"/>
    </w:rPr>
  </w:style>
  <w:style w:styleId="container-block" w:type="paragraph">
    <w:name w:val="container-block"/>
    <w:basedOn w:val="default"/>
    <w:pPr>
      <w:spacing w:after="200"/>
      <w:jc w:val="left"/>
    </w:pPr>
  </w:style>
  <w:style w:styleId="header" w:type="paragraph">
    <w:name w:val="header"/>
    <w:basedOn w:val="default"/>
    <w:pPr>
      <w:shd w:fill="FFFFFF" w:val="clear"/>
      <w:jc w:val="left"/>
    </w:pPr>
    <w:rPr>
      <w:b/>
      <w:color w:val="000000"/>
      <w:sz w:val="32"/>
    </w:rPr>
  </w:style>
  <w:style w:styleId="header-logo" w:type="paragraph">
    <w:name w:val="header-logo"/>
    <w:basedOn w:val="default"/>
    <w:pPr>
      <w:shd w:fill="FFFFFF" w:val="clear"/>
    </w:pPr>
    <w:rPr>
      <w:b/>
      <w:caps/>
      <w:color w:val="FFFFFF"/>
      <w:sz w:val="32"/>
    </w:rPr>
  </w:style>
  <w:style w:styleId="table-cell" w:type="paragraph">
    <w:name w:val="table-cell"/>
    <w:basedOn w:val="default"/>
    <w:pPr/>
  </w:style>
  <w:style w:styleId="footer" w:type="paragraph">
    <w:name w:val="footer"/>
    <w:basedOn w:val="default"/>
    <w:pPr>
      <w:jc w:val="left"/>
    </w:pPr>
    <w:rPr>
      <w:sz w:val="14"/>
    </w:rPr>
  </w:style>
  <w:style w:styleId="headline-content" w:type="paragraph">
    <w:name w:val="headline-content"/>
    <w:basedOn w:val="default"/>
    <w:pPr>
      <w:keepNext/>
      <w:spacing w:after="260" w:before="240"/>
      <w:jc w:val="left"/>
    </w:pPr>
    <w:rPr>
      <w:sz w:val="24"/>
    </w:rPr>
  </w:style>
  <w:style w:styleId="headline-content-0" w:type="paragraph">
    <w:name w:val="headline-content-0"/>
    <w:basedOn w:val="headline-content"/>
    <w:next w:val="par"/>
    <w:pPr>
      <w:keepNext/>
      <w:spacing w:after="0" w:before="240"/>
      <w:jc w:val="left"/>
    </w:pPr>
    <w:rPr>
      <w:b/>
    </w:rPr>
  </w:style>
  <w:style w:styleId="headline-content-0-hidden" w:type="paragraph">
    <w:basedOn w:val="headline-content-0"/>
  </w:style>
  <w:style w:styleId="headline-content-1" w:type="paragraph">
    <w:name w:val="headline-content-1"/>
    <w:basedOn w:val="headline-content"/>
    <w:next w:val="par"/>
    <w:pPr>
      <w:spacing w:after="0"/>
      <w:jc w:val="left"/>
      <w:outlineLvl w:val="0"/>
    </w:pPr>
    <w:rPr>
      <w:sz w:val="16"/>
    </w:rPr>
  </w:style>
  <w:style w:styleId="headline-content-1-hidden" w:type="paragraph">
    <w:basedOn w:val="headline-content-1"/>
  </w:style>
  <w:style w:styleId="label-first" w:type="paragraph">
    <w:name w:val="label-first"/>
    <w:basedOn w:val="default"/>
    <w:pPr>
      <w:spacing w:after="200"/>
    </w:pPr>
    <w:rPr>
      <w:b/>
      <w:sz w:val="20"/>
    </w:rPr>
  </w:style>
  <w:style w:styleId="label" w:type="paragraph">
    <w:name w:val="label"/>
    <w:basedOn w:val="default"/>
    <w:pPr>
      <w:suppressAutoHyphens w:val="on"/>
      <w:spacing w:before="200"/>
      <w:jc w:val="left"/>
    </w:pPr>
    <w:rPr>
      <w:b/>
      <w:sz w:val="20"/>
    </w:rPr>
  </w:style>
  <w:style w:styleId="par" w:type="paragraph">
    <w:name w:val="par"/>
    <w:basedOn w:val="default"/>
    <w:pPr>
      <w:suppressAutoHyphens w:val="on"/>
      <w:spacing w:after="200"/>
      <w:jc w:val="left"/>
    </w:pPr>
    <w:rPr/>
  </w:style>
  <w:style w:styleId="par-first" w:type="paragraph">
    <w:name w:val="par-first"/>
    <w:basedOn w:val="default"/>
    <w:pPr>
      <w:suppressAutoHyphens w:val="on"/>
      <w:spacing w:after="200"/>
      <w:jc w:val="left"/>
    </w:pPr>
    <w:rPr>
      <w:i/>
    </w:rPr>
  </w:style>
  <w:style w:styleId="media" w:type="paragraph">
    <w:name w:val="media"/>
    <w:basedOn w:val="default"/>
    <w:pPr>
      <w:ind w:right="3969"/>
    </w:pPr>
  </w:style>
  <w:style w:styleId="media-caption" w:type="paragraph">
    <w:name w:val="media-caption"/>
    <w:basedOn w:val="default"/>
    <w:pPr>
      <w:spacing w:before="120"/>
    </w:pPr>
    <w:rPr>
      <w:sz w:val="18"/>
    </w:rPr>
  </w:style>
  <w:style w:styleId="PageMargins" w:type="paragraph">
    <w:name w:val="PageMargins"/>
    <w:basedOn w:val="default"/>
    <w:pPr/>
  </w:style>
  <w:style w:styleId="Heading0" w:type="paragraph">
    <w:name w:val="Heading 0"/>
    <w:basedOn w:val="headline-content-0"/>
  </w:style>
  <w:style w:styleId="Heading1" w:type="paragraph">
    <w:name w:val="Heading 1"/>
    <w:basedOn w:val="headline-content-1"/>
  </w:style>
  <w:style w:styleId="Heading2" w:type="paragraph">
    <w:name w:val="Heading 2"/>
    <w:basedOn w:val="headline-content-2"/>
  </w:style>
  <w:style w:styleId="Heading3" w:type="paragraph">
    <w:name w:val="Heading 3"/>
    <w:basedOn w:val="headline-content-3"/>
  </w:style>
  <w:style w:styleId="Heading4" w:type="paragraph">
    <w:name w:val="Heading 4"/>
    <w:basedOn w:val="headline-content-4"/>
  </w:style>
  <w:style w:styleId="Heading5" w:type="paragraph">
    <w:name w:val="Heading 5"/>
    <w:basedOn w:val="headline-content-5"/>
  </w:style>
  <w:style w:styleId="Heading6" w:type="paragraph">
    <w:name w:val="Heading 6"/>
    <w:basedOn w:val="headline-content-6"/>
  </w:style>
  <w:style w:styleId="Heading7" w:type="paragraph">
    <w:name w:val="Heading 7"/>
    <w:basedOn w:val="headline-content-7"/>
  </w:style>
  <w:style w:styleId="headline-content-run0" w:type="character">
    <w:name w:val="headline-content-run 0"/>
  </w:style>
  <w:style w:styleId="headline-content-run1" w:type="character">
    <w:name w:val="headline-content-run 1"/>
  </w:style>
  <w:style w:styleId="headline-content-run2" w:type="character">
    <w:name w:val="headline-content-run 2"/>
  </w:style>
  <w:style w:styleId="headline-content-run3" w:type="character">
    <w:name w:val="headline-content-run 3"/>
  </w:style>
  <w:style w:styleId="headline-content-run4" w:type="character">
    <w:name w:val="headline-content-run 4"/>
  </w:style>
  <w:style w:styleId="headline-content-run5" w:type="character">
    <w:name w:val="headline-content-run 5"/>
  </w:style>
  <w:style w:styleId="headline-content-run6" w:type="character">
    <w:name w:val="headline-content-run 6"/>
  </w:style>
  <w:style w:styleId="headline-content-run7" w:type="character">
    <w:name w:val="headline-content-run 7"/>
  </w:style>
  <w:style w:styleId="TOC1" w:type="paragraph">
    <w:name w:val="toc 1"/>
    <w:basedOn w:val="default"/>
    <w:semiHidden/>
    <w:pPr>
      <w:tabs>
        <w:tab w:leader="dot" w:pos="9639" w:val="right"/>
      </w:tabs>
      <w:spacing w:after="0" w:before="0"/>
      <w:ind w:hanging="0" w:left="0"/>
    </w:pPr>
  </w:style>
  <w:style w:styleId="TOC2" w:type="paragraph">
    <w:name w:val="toc 2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3" w:type="paragraph">
    <w:name w:val="toc 3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4" w:type="paragraph">
    <w:name w:val="toc 4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TOC5" w:type="paragraph">
    <w:name w:val="toc 5"/>
    <w:basedOn w:val="default"/>
    <w:semiHidden/>
    <w:pPr>
      <w:tabs>
        <w:tab w:pos="340.20000000000005" w:val="left"/>
        <w:tab w:leader="dot" w:pos="9639" w:val="right"/>
      </w:tabs>
      <w:spacing w:after="0" w:before="0"/>
      <w:ind w:hanging="340.20000000000005" w:left="340.20000000000005"/>
    </w:pPr>
  </w:style>
  <w:style w:styleId="IndexHeading" w:type="paragraph">
    <w:name w:val="index heading"/>
    <w:basedOn w:val="default"/>
  </w:style>
  <w:style w:styleId="Index1" w:type="paragraph">
    <w:name w:val="index 1"/>
    <w:basedOn w:val="default"/>
  </w:style>
  <w:style w:styleId="Index2" w:type="paragraph">
    <w:name w:val="index 2"/>
    <w:basedOn w:val="default"/>
    <w:pPr>
      <w:ind w:hanging="200" w:left="480"/>
    </w:pPr>
  </w:style>
  <w:style w:styleId="TableofFigures" w:type="paragraph">
    <w:name w:val="table of figures"/>
    <w:basedOn w:val="default"/>
  </w:style>
  <w:style w:styleId="FootnoteReference" w:type="character">
    <w:name w:val="footnote reference"/>
    <w:rPr>
      <w:vertAlign w:val="superscript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document.xml.rels><?xml version="1.0" encoding="UTF-8"?><Relationships xmlns="http://schemas.openxmlformats.org/package/2006/relationships"><Relationship Id="rId1" Target="styles.xml" Type="http://schemas.openxmlformats.org/officeDocument/2006/relationships/styles"/><Relationship Id="N10431" Target="header1.xml" Type="http://schemas.openxmlformats.org/officeDocument/2006/relationships/header"/><Relationship Id="N104C5" Target="footer1.xml" Type="http://schemas.openxmlformats.org/officeDocument/2006/relationships/footer"/><Relationship Id="N103B0" Target="media/N103B0.jpg" Type="http://schemas.openxmlformats.org/officeDocument/2006/relationships/image"/><Relationship Id="rId5" Target="footnotes.xml" Type="http://schemas.openxmlformats.org/officeDocument/2006/relationships/footnotes"/><Relationship Id="rId6" Target="numbering.xml" Type="http://schemas.openxmlformats.org/officeDocument/2006/relationships/numbering"/><Relationship Id="rId7" Target="settings.xml" Type="http://schemas.openxmlformats.org/officeDocument/2006/relationships/settings"/><Relationship Id="rId8" Target="webSettings.xml" Type="http://schemas.openxmlformats.org/officeDocument/2006/relationships/webSettings"/></Relationships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N10498" Target="media/N10498.jpg" Type="http://schemas.openxmlformats.org/officeDocument/2006/relationships/image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>
  <dc:title/>
  <dc:creator>Smart Media Creator</dc:creator>
  <cp:lastModifiedBy>Smart Media Creator</cp:lastModifiedBy>
  <cp:revision>1</cp:revision>
</cp:coreProperties>
</file>