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Beskyttet mod fugt og korrosive miljøer</w:t>
      </w:r>
    </w:p>
    <w:p>
      <w:pPr>
        <w:pStyle w:val="label-first"/>
        <w:keepNext/>
        <w:ind w:left="0"/>
      </w:pPr>
      <w:r>
        <w:rPr>
          <w:b/>
          <w:sz w:val="20"/>
        </w:rPr>
        <w:t xml:space="preserve">X20 controllerne og modulerne kan klare alle miljøforhold</w:t>
      </w:r>
    </w:p>
    <w:p>
      <w:pPr>
        <w:pStyle w:val="par-first"/>
        <w:ind w:left="0"/>
        <w:jc w:val="left"/>
      </w:pPr>
      <w:r>
        <w:rPr>
          <w:i/>
          <w:i/>
        </w:rPr>
        <w:t xml:space="preserve">Med X20c serien sætter B&amp;R nye standarder for beskyttelse mod barske miljøforhold. Den lille kompakt controller og et udvalg af I/O-modulerne findes nu en ”coated” udgave. De har en særlig belægning på elektronikmodulet, som beskytter mod kondens og ætsende gasser. Hvilket gør modulerne kan anvendes i korrosive miljøforhold.</w:t>
      </w:r>
    </w:p>
    <w:p>
      <w:pPr>
        <w:pStyle w:val="par"/>
        <w:ind w:left="0"/>
      </w:pPr>
      <w:r>
        <w:rPr/>
        <w:t xml:space="preserve">Den særlige belægning på elektronikmodulet beskytter komponenterne og printkortet mod påvirkninger af kondens og ætsende gasser. Hvor effektiv beskyttelsen mod kondens er kontrolleres ved hjælp af testen specificeret i BMW GS 95011-4 og beskyttelsen mod korrosive gasser kontrolleres ved den 4-delte ætsende gas test er specificeret i EN 60068-2-6, testmetode 4. Testene udføres både i et stats akkrediteret in-house testlaboratorium samt i certificerede eksterne testfaciliteter. B&amp;R stiller endda højere krav til modulerne, end hvad der er angivet som standard, og ydermere udsættes modulerne for yderligere krævende tests.</w:t>
      </w:r>
    </w:p>
    <w:p>
      <w:pPr>
        <w:pStyle w:val="label"/>
        <w:keepNext/>
        <w:ind w:left="0"/>
      </w:pPr>
      <w:r>
        <w:rPr>
          <w:b/>
          <w:sz w:val="20"/>
        </w:rPr>
        <w:t xml:space="preserve">Til havs og i isnende temperaturer</w:t>
      </w:r>
    </w:p>
    <w:p>
      <w:pPr>
        <w:pStyle w:val="par"/>
        <w:ind w:left="0"/>
      </w:pPr>
      <w:r>
        <w:rPr/>
        <w:t xml:space="preserve">X20 moduler med coatede printkort er fuldstændig kompatible med de eksisterende modeller hvad angår funktionalitet. Med introduktionen af de nye ”coatede” moduler udvider B&amp;R endnu engang anvendelsesområdet for X20 systemet.  Driftstemperaturområdet for alle X20 modulerne blev også for nylig udvidet til at gå fra  -25°C og op til +60°C. X20 systemet har også modtaget en certificering for maritime applikationer fra Germanischer Lloyd (GL), Hvilket stiller meget høje krav til modulet.</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X20_Coated_-_Front_Right-Print-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_Coated_-_Front_Right-Print-CMYK"/>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Kondens er heller ikke noget problem for de "coatede" X20-modeller. </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44" w:type="default"/>
      <w:footerReference xmlns:r="http://schemas.openxmlformats.org/officeDocument/2006/relationships" r:id="N104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4" Target="header1.xml" Type="http://schemas.openxmlformats.org/officeDocument/2006/relationships/header"/><Relationship Id="N104D8"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B" Target="media/N104A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