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Impulsando los sistemas mecatrónicos modulares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ACOPOSmotor establece nuevos estándares para el control de movimiento descentralizado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 ACOPOSmotor, B&amp;R combina servomotor y accionamiento en una unidad compacta. La tecnología de seguridad también se puede integrar de forma opcional. Esto ofrece a los desarrolladores mayor libertad durante el diseño de la máquina y puede ahorrar un valioso espacio en el armario eléctrico.</w:t>
      </w:r>
    </w:p>
    <w:p>
      <w:pPr>
        <w:pStyle w:val="par"/>
        <w:ind w:left="0"/>
      </w:pPr>
      <w:r>
        <w:rPr/>
        <w:t xml:space="preserve">ACOPOSmotor está conectado a la unidad de red utilizando un cable híbrido. Este cable incluye todas las líneas de alimentación y de señal necesarias y establece la conexión a la red POWERLINK. Los módulos ACOPOSmotor están disponibles en tres tamaños con par entre 1,8 y 12 Nm. Si es necesario, es posible adaptar un ventilador opcional para un aumento del rendimiento de hasta el 100%.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Seguridad incluida</w:t>
      </w:r>
    </w:p>
    <w:p>
      <w:pPr>
        <w:pStyle w:val="par"/>
        <w:ind w:left="0"/>
      </w:pPr>
      <w:r>
        <w:rPr/>
        <w:t xml:space="preserve">Además de las funciones de seguridad cableadas STO (Safe Torque Off) y SS1 (Safe Operational Stop 1), en el futuro también estará disponible una variante del módulo ACOPOSmotor basada en la red. De este modo, se podrá acceder a las siguientes funciones (al igual que con ACOPOSmulti): STO, SOS, SS1, SS2, SLS, SMS, SLI y SDI.</w:t>
      </w:r>
    </w:p>
    <w:p>
      <w:pPr>
        <w:pStyle w:val="par"/>
        <w:ind w:left="0"/>
      </w:pPr>
      <w:r>
        <w:rPr/>
        <w:t xml:space="preserve">El ACOPOSmotor es totalmente compatible con los servoaccionamientos ACOPOSmulti. Esto permite a los usuarios seleccionar el mejor servoaccionamiento para cada máquina sin tener que realizar ningún trabajo de ingeniería adicional.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933700" cy="1955800"/>
            <wp:effectExtent b="0" l="0" r="0" t="0"/>
            <wp:docPr id="1" name="PR ACPmotor RGB top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ACPmotor RGB topstory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ACOPOSmotor combina el motor, el accionamiento y la tecnología de seguridad en una sola unidad.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