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představí 3 přední produkty na veletrhu WindEnergy v Hamburku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Dokonalé řešení pro pobřežní a pozemní větrné turbíny</w:t>
      </w:r>
    </w:p>
    <w:p>
      <w:pPr>
        <w:pStyle w:val="par-first"/>
        <w:ind w:left="0"/>
        <w:jc w:val="left"/>
      </w:pPr>
      <w:r>
        <w:rPr>
          <w:i/>
          <w:i/>
        </w:rPr>
        <w:t xml:space="preserve">Jednou z novinek, které budou představeny na letošním veletrhu WindEnergy Hamburg na stánku B5.440, je nejnovější release procesního řídicího systému APROL. Verze 4.0 je dokonalým řešením pro interakci všech typů energetických systémů: větrné a solární energie, zařízení pro ukládání energie, softwaru pro výměnu elektřiny a další.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Robustní hardware do nepříznivého prostředí</w:t>
      </w:r>
    </w:p>
    <w:p>
      <w:pPr>
        <w:pStyle w:val="par"/>
        <w:ind w:left="0"/>
      </w:pPr>
      <w:r>
        <w:rPr/>
        <w:t xml:space="preserve">Moderní větrné turbíny vyžadují výkonný řídicí systém a kladou vysoké nároky na spolehlivost a dostupnost systémů, a to zejména v oblasti pobřežních turbín.  Kromě toho jejich jednotlivé součásti čelí náročným podmínkám. B&amp;R v Hamburku představí vhodné řešení: mimo jiné nejnovější průmyslové Automation PC 2100, jehož konstrukce vychází z architektury Bay Trail od společnosti Intel.  APC může být vybaveno single-core, dual-core nebo quad-core procesory, čímž stanovuje milník v oblasti vestavěných systémů.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Nejkratší doba odezvy se standartním hardwarem</w:t>
      </w:r>
    </w:p>
    <w:p>
      <w:pPr>
        <w:pStyle w:val="par"/>
        <w:ind w:left="0"/>
      </w:pPr>
      <w:r>
        <w:rPr/>
        <w:t xml:space="preserve">Pro časově extrémně náročné aplikace B&amp;R vyvinula průlomovou technologii reACTION, která dokáže snížit dobu odezvy až na 1 µs.  Tak je dosaženo obrovského zvýšení výkonu bez dodatečných nákladů na standardním B&amp;R hardwaru. Vzhledem k tomu, že technologie reACTION běží přímo na I/O modulech, mohou si výrobci zvolit řídicí jednotku středního výkonu, a tím ušetřit náklady na hardware.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83857"/>
            <wp:effectExtent b="0" l="0" r="0" t="0"/>
            <wp:docPr id="1" name="BuR_PR14097_WindEnergy HighRes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97_WindEnergy HighRes CMYK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Spolu s dalšími inovacemi představí B&amp;R na stánku v Hamburku (B5.440) systém pro řízení procesů APROL- efektivní řešení pro automatizaci celé větrné farmy.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