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rzuca światło na 3 główne trakcje na targach WindEnergy w Hamburgu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Doskonała automatyzacja turbin wiatrowych naziemnych i morskich</w:t>
      </w:r>
    </w:p>
    <w:p>
      <w:pPr>
        <w:pStyle w:val="par-first"/>
        <w:ind w:left="0"/>
        <w:jc w:val="left"/>
      </w:pPr>
      <w:r>
        <w:rPr>
          <w:i/>
          <w:i/>
        </w:rPr>
        <w:t xml:space="preserve">Jedną z głównych atrakcji, wystawianych przez B&amp;R w kiosku B5.440 na tegorocznych targach WindEnergy w Hamburgu, jest najnowsza wersja systemu sterowania procesami APROL. Wersja 4.0 produktu jest idealną platformą wiążącą wszystkie technologie energetyczne, w tym instalacje energii wiatrowej i słonecznej, akumulacji ciepła czy oprogramowanie dla giełd elektrycznych, oraz wiele innych.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Odporny sprzęt do pracy w ekstremalnych warunkach</w:t>
      </w:r>
    </w:p>
    <w:p>
      <w:pPr>
        <w:pStyle w:val="par"/>
        <w:ind w:left="0"/>
      </w:pPr>
      <w:r>
        <w:rPr/>
        <w:t xml:space="preserve">Działanie współczesnych turbin wiatrowych wymaga wysoce wydajnej automatyki, a także wymaga wysokiego stopnia bezpieczeństwa i dużej dostępności instalacji, zwłaszcza posadowionych na morzu. Trudne warunki pracy są prawdziwym wyzwaniem dla samych podzespołów instalacji. B&amp;R zaprezentuje w Hamburgu rozwiązania spełniające takie wymogi, w tym nowy komputer przemysłowy Automation PC 2100. Nowatorska konstrukcja komputera opiera się na architekturze Intel Bay Trail, obejmującej procesory jedno-, dwu- i czterordzeniowe procesory i tym samym stanowiącej milowy krok w systemach wbudowanych.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Ultra-krótki czas reakcji standardowych urządzeń</w:t>
      </w:r>
    </w:p>
    <w:p>
      <w:pPr>
        <w:pStyle w:val="par"/>
        <w:ind w:left="0"/>
      </w:pPr>
      <w:r>
        <w:rPr/>
        <w:t xml:space="preserve">B&amp;R opracowała nowe, iście przełomowe rozwiązanie na potrzeby bardzo szybkich aplikacji: technologię reACTION, osiągającej czas reakcji na poziomie 1 µs. Równie imponujące jest to, że rozwiązanie można wdrożyć na standardowych urządzeniach sprzętowych, dramatycznie zwiększając ich wydajność bez dodatkowych kosztów. Technologia reACTION została zintegrowana bezpośrednio w postaci modułów I/O, a więc producenci mogą dobierać centralne sterowniki o średniej klasie wydajności i tym samym zmniejszyć ogólny koszt inwestycji w część sprzętową.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B&amp;R, poza innymi nowatorskimi produktami na firmowym stoisku w Hamburgu (kiosk nr B5.440), przedstawi system sterowania procesami APROL, będący wydajnym rozwiązaniem dla automatyki farm wiatrowych.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