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vystaví inovativní techniku na veletrhu EUROBLECH</w:t>
      </w:r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Inteligentní „condition monitoring“ pro stroje na zpracování kovů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V říjnu na veletrhu EUROBLECH v německém Hanoveru vystaví společnost B&amp;R (stánek B05 v hale 12) ucelený systém pro condition monitoring APROL ConMon.  Díky inteligentnímu sledování stavu výrobních strojů a zařízení lze pomocí APROL ConMon zkrátit odstávky v kovozpracuících provozech a zabránit škodám způsobeným neočekávanými poruchami a dosáhnout tak vyšší produktivity.   </w:t>
      </w:r>
    </w:p>
    <w:p>
      <w:pPr>
        <w:pStyle w:val="par"/>
        <w:ind w:left="0"/>
      </w:pPr>
      <w:r>
        <w:rPr/>
        <w:t xml:space="preserve">Na stánku budou k vidění také nejnovější řešení naplňující vizi „Industry 4.0“.  Nárůst zakázkové výroby a individuality výrobků vyžaduje vyrábět z plechu stále složitější součástky ve stále menších sériích.  Takové požadavky se daří už nyní naplňovat, a to díky tomu, že u B&amp;R mohou robotika, CNC a všeobecné řídicí úlohy běžet na jedné hardwarové platformě. </w:t>
      </w:r>
    </w:p>
    <w:p>
      <w:pPr>
        <w:pStyle w:val="par"/>
        <w:ind w:left="0"/>
      </w:pPr>
      <w:r>
        <w:rPr/>
        <w:t xml:space="preserve">Navíc B&amp;R ve vývojovém prostředí Automation Studio nabízí jednotný nástroj pro celý životní cyklus stroje, což značně usnadňuje proces vývoje, oživování a údržby.  Nové varianty téhož stroje, například pro nové cílové trhy, není třeba znovu vyvíjet. Software i hardware lze sestavit z hotových modulů a v rámci jednoho projektu v Automation Studiu vyvíjet a spravovat software pro více variant strojů.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R Euroblech 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Euroblech HighRes"/>
                    <pic:cNvPicPr/>
                  </pic:nvPicPr>
                  <pic:blipFill>
                    <a:blip xmlns:r="http://schemas.openxmlformats.org/officeDocument/2006/relationships" cstate="print" r:embed="N1037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 veletrhu EuroBLECH B&amp;R představí nejnovější techniku, která činí nízko objemovou výrobu složitých plechových dílů ještě účinnější.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FA" w:type="default"/>
      <w:footerReference xmlns:r="http://schemas.openxmlformats.org/officeDocument/2006/relationships" r:id="N1048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A" Target="header1.xml" Type="http://schemas.openxmlformats.org/officeDocument/2006/relationships/header"/><Relationship Id="N1048E" Target="footer1.xml" Type="http://schemas.openxmlformats.org/officeDocument/2006/relationships/footer"/><Relationship Id="N10379" Target="media/N1037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1" Target="media/N1046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