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Poslední krok k Industry 4.0 s IO-Link 1.1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nové master moduly pro digitální komunikaci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představuje dva nové master moduly, z nichž každý používá IO-Link 1.1 k digitální komunikaci se čtyřmi inteligentními zařízeními polní instrumentace:  X20DS438A v krytí IP20 a X67DS438A v krytí IP67 pro provozování mimo rozváděčovou skříň.</w:t>
      </w:r>
    </w:p>
    <w:p>
      <w:pPr>
        <w:pStyle w:val="par"/>
        <w:ind w:left="0"/>
      </w:pPr>
      <w:r>
        <w:rPr/>
        <w:t xml:space="preserve">Vize pokročilé "Industry 4.0" – nezávislý pohyb obrobků výrobním procesem a řízení jejich vlastní výroby – může být dosaženo pouze rozšířením senzoriky poskytující více smyslupných údajů.  Dokonce i relativně jednoduché sensory jsou inteligentnější, když nastavitelné potenciometry nahradíme za sety digitálních parametrů.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Inteligentní propojení</w:t>
      </w:r>
    </w:p>
    <w:p>
      <w:pPr>
        <w:pStyle w:val="par"/>
        <w:ind w:left="0"/>
      </w:pPr>
      <w:r>
        <w:rPr/>
        <w:t xml:space="preserve">B&amp;R již dlouho spoléhá na komunikační standard IO-Link pokrývající komunikační úsek mezi I/O moduly a jednotlivými čidly a akčními členy.  Toto obousměrné digitální komunikační rozhraní se používá v oblasti, kde je třeba výměny parametrů a diagnostických informací tak, aby bylo možné inteligentně integrovat čidla a spínací zařízení do řídící úrovně. Tato integrace koncových zařízení je značně zjednodušena standardizací používaných komunikačních technologií, stejně jako centrální správa parametrů usnadňuje jejich výměnu.  IO-Link je perfektním doplňkem k technologii průmyslové sběrnice reálného času Ethernet POWERLINK.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477"/>
            <wp:effectExtent b="0" l="0" r="0" t="0"/>
            <wp:docPr id="1" name="BuR_PR13201_IO-Link-Master-Print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3201_IO-Link-Master-Print-CMYK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Integrace IO-Link 1.1 do B&amp;R systému X20 usnadňuje připojení čidel a zároveň zvyšuje konzistentnost údajů až na úrovně jednotlivých zařízení.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