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Alta potencia en una carcasa compacta</w:t>
      </w:r>
    </w:p>
    <w:p>
      <w:pPr>
        <w:pStyle w:val="label-first"/>
        <w:keepNext/>
        <w:ind w:left="0"/>
      </w:pPr>
      <w:r>
        <w:rPr>
          <w:b/>
          <w:sz w:val="20"/>
        </w:rPr>
        <w:t xml:space="preserve">Automation PC 2100: Controlador y PC en uno</w:t>
      </w:r>
    </w:p>
    <w:p>
      <w:pPr>
        <w:pStyle w:val="par-first"/>
        <w:ind w:left="0"/>
        <w:jc w:val="left"/>
      </w:pPr>
      <w:r>
        <w:rPr>
          <w:i/>
          <w:i/>
        </w:rPr>
        <w:t xml:space="preserve">El nuevo Automation PC 2100 de B&amp;R une el mundo del PC con aplicaciones de tiempo real estricto. Si es necesario, Automation Runtime y Windows pueden ejecutarse simultáneamente gracias a la potente tecnología de procesamiento multinúcleo Intel Atom, que permite utilizar el Automation PC 2100 como un controlador industrial de alto rendimiento y, al mismo tiempo, como un PC para sofisticadas aplicaciones HMI. Y con unas dimensiones tan compactas, apenas ocupa espacio en el armario eléctrico.</w:t>
      </w:r>
    </w:p>
    <w:p>
      <w:pPr>
        <w:pStyle w:val="par"/>
        <w:ind w:left="0"/>
      </w:pPr>
      <w:r>
        <w:rPr/>
        <w:t xml:space="preserve">A pesar de su carcasa ultra compacta, el Automation PC 2100 es un sistema de PC completo que representa un hito en capacidad de rendimiento de sistemas integrados, con una relación precio-rendimiento insuperable. Disponible con procesador de uno, dos o cuatro núcleos, la potencia de cálculo del Automation PC 2100 es totalmente escalable. En el rango superior de potencia, incluso supera el rendimiento de muchos procesadores Core i-series.</w:t>
      </w:r>
    </w:p>
    <w:p>
      <w:pPr>
        <w:pStyle w:val="label"/>
        <w:keepNext/>
        <w:ind w:left="0"/>
      </w:pPr>
      <w:r>
        <w:rPr>
          <w:b/>
          <w:sz w:val="20"/>
        </w:rPr>
        <w:t xml:space="preserve">Totally maintenance-free</w:t>
      </w:r>
    </w:p>
    <w:p>
      <w:pPr>
        <w:pStyle w:val="par"/>
        <w:ind w:left="0"/>
      </w:pPr>
      <w:r>
        <w:rPr/>
        <w:t xml:space="preserve">Independientemente de la variante, la ausencia de ventiladores u otros componentes giratorios significa que no requiere ningún tipo de mantenimiento. Otras características estándar incluyen dos interfaces gigabit Ethernet, así como un interface USB 2.0 y uno USB 3.0. Las conexiones de bus de campo como POWERLINK o CAN se pueden configurar de forma individual y están disponibles tarjetas CFast basadas en MLC compactas con 60 GB o más, para satisfacer todos los requerimientos de memoria.</w:t>
      </w:r>
    </w:p>
    <w:p>
      <w:pPr>
        <w:pStyle w:val="label"/>
        <w:keepNext/>
        <w:ind w:left="0"/>
      </w:pPr>
      <w:r>
        <w:rPr>
          <w:b/>
          <w:sz w:val="20"/>
        </w:rPr>
        <w:t xml:space="preserve">Máximo rendimiento gráfico</w:t>
      </w:r>
    </w:p>
    <w:p>
      <w:pPr>
        <w:pStyle w:val="par"/>
        <w:ind w:left="0"/>
      </w:pPr>
      <w:r>
        <w:rPr/>
        <w:t xml:space="preserve">El motor gráfico utilizado por los procesadores Atom procede de la tecnología i Core y proporciona un potente procesamiento hasta Full HD. También es la primera vez que se ofrece soporte para DirectX 11 en este segmento, lo que abre aún más posibilidades con capacidad gráfica mejorada en SCADA y otros sistemas HMI.</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APC2100-hand_pri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2100-hand_print_cmyk"/>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El Automation PC es del tamaño de una mano y aún así ofrece máximo rendimiento justo donde se necesita.</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