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Default ContentType="image/jpeg" Extension="jp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wordprocessingml.header+xml" PartName="/word/header1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</Types>
</file>

<file path=_rels/.rels><?xml version="1.0" encoding="UTF-8"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pStyle w:val="headline-content-0"/>
        <w:keepNext/>
      </w:pPr>
      <w:r>
        <w:rPr>
          <w:rStyle w:val="headline-content-run0"/>
          <w:b/>
          <w:sz w:val="24"/>
        </w:rPr>
        <w:t xml:space="preserve">L'Università italiana al quartier generale B&amp;R</w:t>
      </w:r>
    </w:p>
    <w:p>
      <w:pPr>
        <w:pStyle w:val="label-first"/>
        <w:keepNext/>
        <w:ind w:left="0"/>
      </w:pPr>
    </w:p>
    <w:p>
      <w:pPr>
        <w:pStyle w:val="par-first"/>
        <w:ind w:left="0"/>
        <w:jc w:val="left"/>
      </w:pPr>
      <w:r>
        <w:rPr>
          <w:i/>
          <w:i/>
        </w:rPr>
        <w:t xml:space="preserve">Un seminario tecnico sulle più avanzate tecnologie dell’automazione è stato, per 17 docenti universitari italiani, l’occasione di conoscere più a fondo B&amp;R, nella cornice della prestigiosa Automation Academy.  </w:t>
      </w:r>
    </w:p>
    <w:p>
      <w:pPr>
        <w:pStyle w:val="par"/>
        <w:ind w:left="0"/>
      </w:pPr>
      <w:r>
        <w:rPr/>
        <w:t xml:space="preserve">I professori, provenienti da 8 tra le più importanti università italiane - Bergamo, Bologna, Brescia Ferrara, Modena e Reggio Emilia, Parma, Udine e Verona - hanno intrapreso insieme un viaggio che li ha portati in Austria, alla scoperta della azienda che ha fatto della formazione un suo straordinario punto di forza.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La formazione secondo B&amp;R</w:t>
      </w:r>
    </w:p>
    <w:p>
      <w:pPr>
        <w:pStyle w:val="par"/>
        <w:ind w:left="0"/>
      </w:pPr>
      <w:r>
        <w:rPr/>
        <w:t xml:space="preserve">Un Engineering Camp di oltre 4 mesi per i giovani ingegneri, diversi Expert Training con approfondimenti tematici per la formazione continua degli specialisti applicativi e i tecnici del supporto tecnico, oltre 20 corsi focalizzati su diversi argomenti dedicati ai costruttori di macchine e ai produttori finali, tutti standardizzati per essere condotti con i medesimi alti livelli qualitativi da trainer preparati in tutto il mondo.  Questa è in estrema sintesi la formula che B&amp;R usa per permettere agli ingegneri di restare sempre al passo con le nuove tecnologie per l’automazione e per arricchire il proprio bagaglio specialistico.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Direttamente in università</w:t>
      </w:r>
    </w:p>
    <w:p>
      <w:pPr>
        <w:pStyle w:val="par"/>
        <w:ind w:left="0"/>
      </w:pPr>
      <w:r>
        <w:rPr/>
        <w:t xml:space="preserve">Il programma formativo di B&amp;R si completa con una serie di attività svolte, in ogni Paese, all’interno delle università che hanno un indirizzo di specializzazione in Automazione. Negli atenei si è all’opera ogni giorno per dotare i laboratori di strumenti di automazione e controllo per permettere agli studenti di apprendere le tecniche di base del controllo industriale. </w:t>
      </w:r>
    </w:p>
    <w:p>
      <w:pPr>
        <w:pStyle w:val="par"/>
        <w:ind w:left="0"/>
      </w:pPr>
      <w:r>
        <w:rPr/>
        <w:t xml:space="preserve">“Oltre alle attività in laboratorio, dove vengono curati progetti di laurea ed esercitazioni</w:t>
      </w:r>
      <w:r>
        <w:rPr/>
        <w:t xml:space="preserve"> – racconta Davide Poli, Educational Manager di B&amp;R in Italia - </w:t>
      </w:r>
      <w:r>
        <w:rPr/>
        <w:t xml:space="preserve">i nostri formatori affiancano i docenti con vere e proprie lezioni in aula… Una eccellente opportunità per i giovani ingegneri che possono così, già dai banchi universitari, affrontare le tipiche problematiche di automazione presenti nell’industria e prendere confidenza con soluzioni di controllo integrate.”</w:t>
      </w:r>
    </w:p>
    <w:p>
      <w:pPr>
        <w:pStyle w:val="label"/>
        <w:keepNext/>
        <w:ind w:left="0"/>
      </w:pPr>
      <w:r>
        <w:rPr>
          <w:b/>
          <w:sz w:val="20"/>
        </w:rPr>
        <w:t xml:space="preserve">Uno sguardo da vicino</w:t>
      </w:r>
    </w:p>
    <w:p>
      <w:pPr>
        <w:pStyle w:val="par"/>
        <w:ind w:left="0"/>
      </w:pPr>
      <w:r>
        <w:rPr/>
        <w:t xml:space="preserve">Forti delle fruttuose collaborazioni già in atto con B&amp;R, un nutrito gruppo di docenti universitari è partito alla volta di Eggelsberg, 30 Km a nord di Salisburgo, per vedere di persona il quartiere generale della società.  La visita li ha condotti a scoprire gli oltre 65.000 metri quadrati dove trovano spazio la ricerca e sviluppo, i laboratori di certificazione, il Technology Centre, le linee di produzione, dove viene creato e testato il 100% dell’hardware B&amp;R, passando per l’impressionante magazzino totalmente automatizzato, per gli uffici acquisti e le vendite.  Oltre a questa panoramica sul mondo B&amp;R, i professori ospiti hanno avuto modo di accedere alle aule dell’Automation Academy, il centro formativo austriaco dove si tengono, ogni anno, oltre 120 corsi specialistici per i professionisti dell’automazione. Qui hanno potuto partecipare a seminari scientifici sulle ultime tecnologie dell’automazione, tutti tenuti da esperti in diverse discipline quali: la safety, la robotica, le comunicazioni deterministiche, la simulazione e gli algoritmi di motion avanzati.  </w:t>
      </w:r>
    </w:p>
    <w:p>
      <w:pPr>
        <w:pStyle w:val="par"/>
        <w:ind w:left="0"/>
      </w:pPr>
      <w:r>
        <w:rPr/>
        <w:t xml:space="preserve">“Un’esperienza formativa unica </w:t>
      </w:r>
      <w:r>
        <w:rPr/>
        <w:t xml:space="preserve">- racconta il Prof. Eugenio Faldella, docente presso L’Università di Bologna - </w:t>
      </w:r>
      <w:r>
        <w:rPr/>
        <w:t xml:space="preserve">che mi ha fatto davvero capire quale incredibile realtà sia B&amp;R.”</w:t>
      </w:r>
    </w:p>
    <w:p>
      <w:pPr>
        <w:pStyle w:val="par"/>
        <w:ind w:left="0"/>
      </w:pPr>
      <w:r>
        <w:rPr/>
        <w:t xml:space="preserve">“Ritengo sia stata un'ottima iniziativa</w:t>
      </w:r>
      <w:r>
        <w:rPr/>
        <w:t xml:space="preserve"> – aggiunge il Prof. Matteo Sartini, dell’università di Bologna - </w:t>
      </w:r>
      <w:r>
        <w:rPr/>
        <w:t xml:space="preserve">utile per migliorare sempre di più il collegamento tra mondo universitario e mondo industriale, che a volte risultano troppo distanti.”</w:t>
      </w:r>
    </w:p>
    <w:p/>
    <w:bookmarkStart w:id="10" w:name="_XREFN1009B"/>
    <w:bookmarkStart w:id="11" w:name="_XREFN100A0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1686788"/>
            <wp:effectExtent b="0" l="0" r="0" t="0"/>
            <wp:docPr id="1" name="HQ_BR-ItalianProfessors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Q_BR-ItalianProfessorsGroup"/>
                    <pic:cNvPicPr/>
                  </pic:nvPicPr>
                  <pic:blipFill>
                    <a:blip xmlns:r="http://schemas.openxmlformats.org/officeDocument/2006/relationships" cstate="print" r:embed="N104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68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17 tra i docenti delle più importanti università italiane di ingegneria hanno partecipato a questo viaggio inedito alla scoperta delle ultime tecnologie dell’automazione.</w:t>
      </w:r>
    </w:p>
    <w:bookmarkEnd w:id="11"/>
    <w:bookmarkEnd w:id="10"/>
    <w:bookmarkStart w:id="12" w:name="_XREFN1008B"/>
    <w:bookmarkStart w:id="13" w:name="_XREFN10092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5400000"/>
            <wp:effectExtent b="0" l="0" r="0" t="0"/>
            <wp:docPr id="2" name="HQ_BR-TechnicalSemin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Q_BR-TechnicalSeminar"/>
                    <pic:cNvPicPr/>
                  </pic:nvPicPr>
                  <pic:blipFill>
                    <a:blip xmlns:r="http://schemas.openxmlformats.org/officeDocument/2006/relationships" cstate="print" r:embed="N1047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Le importanti collaborazioni in atto tra B&amp;R e le università italiane permettono di avvicinare sempre di più il mondo universitario a quello industriale.</w:t>
      </w:r>
    </w:p>
    <w:bookmarkEnd w:id="13"/>
    <w:bookmarkEnd w:id="12"/>
    <w:bookmarkStart w:id="14" w:name="_XREFN100E5"/>
    <w:bookmarkStart w:id="15" w:name="_XREFN100EC"/>
    <w:p>
      <w:pPr>
        <w:keepNext/>
        <w:spacing w:after="20" w:before="0"/>
        <w:ind w:left="0"/>
      </w:pPr>
      <w:r>
        <w:drawing>
          <wp:inline xmlns:wp="http://schemas.openxmlformats.org/drawingml/2006/wordprocessingDrawing" distB="0" distL="0" distR="0" distT="0">
            <wp:extent cx="3600000" cy="2745684"/>
            <wp:effectExtent b="0" l="0" r="0" t="0"/>
            <wp:docPr id="3" name="HQ_BR-CompanyVis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Q_BR-CompanyVisit"/>
                    <pic:cNvPicPr/>
                  </pic:nvPicPr>
                  <pic:blipFill>
                    <a:blip xmlns:r="http://schemas.openxmlformats.org/officeDocument/2006/relationships" cstate="print" r:embed="N104C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4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media-caption"/>
        <w:ind w:left="0"/>
      </w:pPr>
      <w:r>
        <w:t xml:space="preserve">Un momento della visita all'interno del quartier generale di B&amp;R a Eggelsberg</w:t>
      </w:r>
    </w:p>
    <w:bookmarkEnd w:id="15"/>
    <w:bookmarkEnd w:id="14"/>
    <w:bookmarkStart w:id="16" w:name="_XREFN100C6"/>
    <w:bookmarkStart w:id="17" w:name="_XREFN100CB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3119838"/>
            <wp:effectExtent b="0" l="0" r="0" t="0"/>
            <wp:docPr id="4" name="HQ_BR-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Q_BR-Web"/>
                    <pic:cNvPicPr/>
                  </pic:nvPicPr>
                  <pic:blipFill>
                    <a:blip xmlns:r="http://schemas.openxmlformats.org/officeDocument/2006/relationships" cstate="print" r:embed="N1050E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1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7"/>
    <w:bookmarkEnd w:id="16"/>
    <w:p/>
    <w:p/>
    <w:p/>
    <w:p>
      <w:pPr>
        <w:pStyle w:val="headline-content-1"/>
        <w:keepNext/>
      </w:pPr>
      <w:r>
        <w:rPr>
          <w:rStyle w:val="headline-content-run1"/>
          <w:sz w:val="16"/>
        </w:rPr>
        <w:t xml:space="preserve">A proposito di B&amp;R</w:t>
      </w:r>
    </w:p>
    <w:p>
      <w:pPr>
        <w:pStyle w:val="par"/>
        <w:ind w:left="0"/>
      </w:pPr>
      <w:r>
        <w:rPr>
          <w:sz w:val="16"/>
        </w:rPr>
        <w:t xml:space="preserve">B&amp;R, una divisione del Gruppo ABB, è leader globale nell'automazione industriale con sede in Austria. B&amp;R combina tecnologia all'avanguardia con ingegneria avanzata per fornire ai clienti, praticamente di ogni settore, soluzioni complete per l'automazione di macchine e fabbriche, controllo del movimento, HMI e tecnologia di sicurezza integrata. Con gli standard di comunicazione IoT industriale tra cui OPC UA, POWERLINK e openSAFETY, nonché il software Automation Studio, B&amp;R ridefinisce costantemente il futuro dell'ingegneria dell'automazione. Lo spirito innovativo che mantiene B&amp;R all'avanguardia nell'automazione industriale è guidato dall'impegno a semplificare i processi e a superare le aspettative dei clienti. </w:t>
      </w:r>
    </w:p>
    <w:p>
      <w:pPr>
        <w:pStyle w:val="par"/>
        <w:ind w:left="0"/>
      </w:pPr>
      <w:r>
        <w:rPr>
          <w:sz w:val="16"/>
        </w:rPr>
        <w:t xml:space="preserve">Per maggiori informazioni, visita www.br-automation.com</w:t>
      </w:r>
    </w:p>
    <w:sectPr>
      <w:headerReference xmlns:r="http://schemas.openxmlformats.org/officeDocument/2006/relationships" r:id="N10585" w:type="default"/>
      <w:footerReference xmlns:r="http://schemas.openxmlformats.org/officeDocument/2006/relationships" r:id="N10619" w:type="default"/>
      <w:type w:val="continuous"/>
      <w:pgSz w:code="9" w:h="16839" w:w="11907"/>
      <w:pgMar w:bottom="1984" w:footer="567" w:header="567" w:left="1134" w:right="1134" w:top="2268"/>
    </w:sectPr>
  </w:body>
</w:document>
</file>

<file path=word/footer1.xml><?xml version="1.0" encoding="utf-8"?>
<w:ftr xmlns:w="http://schemas.openxmlformats.org/wordprocessingml/2006/main">
  <w:tbl>
    <w:tblPr>
      <w:tblW w:type="dxa" w:w="9638"/>
      <w:tblInd w:type="dxa" w:w="0"/>
      <w:tblLayout w:type="fixed"/>
    </w:tblPr>
    <w:tblGrid>
      <w:gridCol w:w="4819"/>
      <w:gridCol w:w="4819"/>
    </w:tblGrid>
    <w:tr>
      <w:trPr>
        <w:trHeight w:hRule="exact" w:val="1417"/>
      </w:trPr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ind w:left="0"/>
            <w:jc w:val="left"/>
          </w:pPr>
          <w:r>
            <w:rPr>
              <w:sz w:val="14"/>
            </w:rPr>
            <w:t>Contatto stampa</w:t>
          </w:r>
          <w:r>
            <w:rPr>
              <w:sz w:val="14"/>
            </w:rPr>
            <w:t xml:space="preserve">:</w:t>
          </w:r>
          <w:r>
            <w:br w:type="textWrapping"/>
          </w:r>
          <w:r>
            <w:br w:type="textWrapping"/>
          </w:r>
          <w:r>
            <w:br w:type="textWrapping"/>
          </w:r>
          <w:r>
            <w:rPr>
              <w:sz w:val="14"/>
            </w:rPr>
            <w:t xml:space="preserve">press@br-automation.com</w:t>
          </w:r>
          <w:r>
            <w:br w:type="textWrapping"/>
          </w:r>
          <w:r>
            <w:br w:type="textWrapping"/>
          </w:r>
        </w:p>
      </w:tc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spacing w:after="0"/>
            <w:ind w:left="0"/>
            <w:jc w:val="right"/>
          </w:pPr>
          <w:r>
            <w:br w:type="textWrapping"/>
          </w:r>
          <w:r>
            <w:rPr>
              <w:sz w:val="14"/>
            </w:rPr>
            <w:t>Pagina</w:t>
          </w:r>
          <w:r>
            <w:rPr>
              <w:rFonts w:ascii="Arial" w:hAnsi="Arial"/>
            </w:rPr>
            <w:t> </w:t>
          </w:r>
          <w:r>
            <w:rPr>
              <w:b/>
              <w:sz w:val="14"/>
            </w:rPr>
            <w:fldChar w:fldCharType="begin"/>
            <w:instrText xml:space="preserve"> PAGE \* Arabic </w:instrText>
            <w:fldChar w:fldCharType="end"/>
          </w:r>
          <w:r>
            <w:rPr>
              <w:b/>
              <w:sz w:val="14"/>
            </w:rPr>
            <w:t xml:space="preserve">/</w:t>
          </w:r>
          <w:r>
            <w:rPr>
              <w:b/>
              <w:sz w:val="14"/>
            </w:rPr>
            <w:fldChar w:fldCharType="begin"/>
            <w:instrText xml:space="preserve"> NUMPAGES   \* MERGEFORMAT </w:instrText>
            <w:fldChar w:fldCharType="end"/>
          </w:r>
        </w:p>
      </w:tc>
    </w:tr>
  </w:tbl>
</w:ftr>
</file>

<file path=word/footnotes.xml><?xml version="1.0" encoding="utf-8"?>
<w:footnotes xmlns:w="http://schemas.openxmlformats.org/wordprocessingml/2006/main"/>
</file>

<file path=word/header1.xml><?xml version="1.0" encoding="utf-8"?>
<w:hdr xmlns:w="http://schemas.openxmlformats.org/wordprocessingml/2006/main">
  <w:tbl>
    <w:tblPr>
      <w:tblW w:type="dxa" w:w="9638"/>
      <w:tblInd w:type="dxa" w:w="0"/>
      <w:tblLayout w:type="fixed"/>
    </w:tblPr>
    <w:tblGrid>
      <w:gridCol w:w="5783"/>
      <w:gridCol w:w="3855"/>
    </w:tblGrid>
    <w:tr>
      <w:trPr/>
      <w:tc>
        <w:tcPr>
          <w:tcW w:type="dxa" w:w="5783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"/>
            <w:spacing w:after="0"/>
            <w:ind w:left="0"/>
            <w:jc w:val="left"/>
          </w:pPr>
          <w:r>
            <w:rPr>
              <w:b/>
              <w:color w:val="000000"/>
              <w:sz w:val="32"/>
            </w:rPr>
            <w:t>Comunicato stampa</w:t>
          </w:r>
        </w:p>
      </w:tc>
      <w:tc>
        <w:tcPr>
          <w:tcW w:type="dxa" w:w="3855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-logo"/>
            <w:spacing w:after="0"/>
            <w:ind w:left="0"/>
            <w:jc w:val="right"/>
          </w:pPr>
          <w:r>
            <w:drawing>
              <wp:inline xmlns:wp="http://schemas.openxmlformats.org/drawingml/2006/wordprocessingDrawing" distB="0" distL="0" distR="0" distT="0">
                <wp:extent cx="1505712" cy="518160"/>
                <wp:effectExtent b="0" l="0" r="0" t="0"/>
                <wp:docPr id="5" name="logo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logo 2022"/>
                        <pic:cNvPicPr/>
                      </pic:nvPicPr>
                      <pic:blipFill>
                        <a:blip xmlns:r="http://schemas.openxmlformats.org/officeDocument/2006/relationships" cstate="print" r:embed="N105EC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05712" cy="518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</w:hdr>
</file>

<file path=word/numbering.xml><?xml version="1.0" encoding="utf-8"?>
<w:numbering xmlns:w="http://schemas.openxmlformats.org/wordprocessingml/2006/main">
  <w:abstractNum w:abstractNumId="2">
    <w:nsid w:val="0E6454FE"/>
    <w:multiLevelType w:val="multilevel"/>
    <w:tmpl w:val="D386552E"/>
    <w:lvl w:ilvl="0">
      <w:start w:val="1"/>
      <w:pStyle w:val="headline-content-1"/>
      <w:suff w:val="tab"/>
      <w:lvlText w:val="%1"/>
      <w:lvlJc w:val="left"/>
      <w:pPr>
        <w:tabs>
          <w:tab w:pos="1417.5" w:val="num"/>
        </w:tabs>
        <w:ind w:hanging="1417.5" w:left="1417.5"/>
      </w:pPr>
    </w:lvl>
    <w:lvl w:ilvl="1">
      <w:start w:val="1"/>
      <w:suff w:val="tab"/>
      <w:lvlText w:val="%1.%2"/>
      <w:lvlJc w:val="left"/>
      <w:pPr>
        <w:tabs>
          <w:tab w:pos="1417.5" w:val="num"/>
        </w:tabs>
        <w:ind w:hanging="1417.5" w:left="1417.5"/>
      </w:pPr>
    </w:lvl>
    <w:lvl w:ilvl="2">
      <w:start w:val="1"/>
      <w:suff w:val="tab"/>
      <w:lvlText w:val="%1.%2.%3"/>
      <w:lvlJc w:val="left"/>
      <w:pPr>
        <w:tabs>
          <w:tab w:pos="1417.5" w:val="num"/>
        </w:tabs>
        <w:ind w:hanging="1417.5" w:left="1417.5"/>
      </w:pPr>
    </w:lvl>
    <w:lvl w:ilvl="3">
      <w:start w:val="1"/>
      <w:suff w:val="tab"/>
      <w:lvlText w:val="%1.%2.%3.%4"/>
      <w:lvlJc w:val="left"/>
      <w:pPr>
        <w:tabs>
          <w:tab w:pos="1417.5" w:val="num"/>
        </w:tabs>
        <w:ind w:hanging="1417.5" w:left="1417.5"/>
      </w:pPr>
    </w:lvl>
    <w:lvl w:ilvl="4">
      <w:start w:val="1"/>
      <w:suff w:val="tab"/>
      <w:lvlText w:val="%1.%2.%3.%4.%5"/>
      <w:lvlJc w:val="left"/>
      <w:pPr>
        <w:tabs>
          <w:tab w:pos="1417.5" w:val="num"/>
        </w:tabs>
        <w:ind w:hanging="1417.5" w:left="1417.5"/>
      </w:pPr>
    </w:lvl>
    <w:lvl w:ilvl="5">
      <w:start w:val="1"/>
      <w:suff w:val="tab"/>
      <w:lvlText w:val="%1.%2.%3.%4.%5.%6"/>
      <w:lvlJc w:val="left"/>
      <w:pPr>
        <w:tabs>
          <w:tab w:pos="1417.5" w:val="num"/>
        </w:tabs>
        <w:ind w:hanging="1417.5" w:left="1417.5"/>
      </w:pPr>
    </w:lvl>
    <w:lvl w:ilvl="6">
      <w:start w:val="1"/>
      <w:suff w:val="tab"/>
      <w:lvlText w:val="%1.%2.%3.%4.%5.%6.%7"/>
      <w:lvlJc w:val="left"/>
      <w:pPr>
        <w:tabs>
          <w:tab w:pos="1417.5" w:val="num"/>
        </w:tabs>
        <w:ind w:hanging="1417.5" w:left="1417.5"/>
      </w:pPr>
    </w:lvl>
    <w:lvl w:ilvl="7">
      <w:start w:val="1"/>
      <w:suff w:val="tab"/>
      <w:lvlText w:val="%1.%2.%3.%4.%5.%6.%7.%8"/>
      <w:lvlJc w:val="left"/>
      <w:pPr>
        <w:tabs>
          <w:tab w:pos="1417.5" w:val="num"/>
        </w:tabs>
        <w:ind w:hanging="1417.5" w:left="1417.5"/>
      </w:pPr>
    </w:lvl>
  </w:abstractNum>
  <w:abstractNum w:abstractNumId="6">
    <w:multiLevelType w:val="hybridMultilevel"/>
    <w:lvl w:ilvl="0" w:tplc="CB7E2DBC">
      <w:start w:val="1"/>
      <w:numFmt w:val="bullet"/>
      <w:lvlText w:val="►"/>
      <w:lvlJc w:val="left"/>
      <w:pPr>
        <w:ind w:hanging="360" w:left="720"/>
      </w:pPr>
      <w:rPr>
        <w:rFonts w:ascii="Arial" w:eastAsia="AR PL KaitiM Big5" w:hAnsi="Arial" w:hint="default"/>
        <w:color w:val="97AA61"/>
        <w:sz w:val="16"/>
      </w:rPr>
    </w:lvl>
  </w:abstractNum>
  <w:num w:numId="3">
    <w:abstractNumId w:val="2"/>
  </w:num>
  <w:num w:numId="7">
    <w:abstractNumId w:val="6"/>
  </w:num>
  <w:numIdMacAtCleanup w:val="12"/>
</w:numbering>
</file>

<file path=word/settings.xml><?xml version="1.0" encoding="utf-8"?>
<w:settings xmlns:w="http://schemas.openxmlformats.org/wordprocessingml/2006/main">
  <w:view w:val="print"/>
  <w:zoom w:percent="100"/>
  <w:embedSystemFonts w:val="off"/>
  <w:defaultTabStop w:val="708"/>
  <w:autoHyphenation/>
  <w:hyphenationZone w:val="425"/>
  <w:noPunctuationKerning w:val="on"/>
  <w:characterSpacingControl w:val="doNotCompress"/>
  <w:ignoreMixedContent w:val="off"/>
  <w:alwaysShowPlaceholderText w:val="off"/>
  <w:compat>
    <w:suppressTopSpacing w:val="on"/>
    <w:suppressSpBfAfterPgBrk w:val="on"/>
    <w:doNotBreakWrappedTables w:val="off"/>
    <w:doNotSnapToGridInCell w:val="off"/>
    <w:doNotWrapTextWithPunct w:val="off"/>
    <w:doNotUseEastAsianBreakRules w:val="off"/>
    <w:growAutofit w:val="off"/>
  </w:compat>
</w:settings>
</file>

<file path=word/styles.xml><?xml version="1.0" encoding="utf-8"?>
<w:styles xmlns:w="http://schemas.openxmlformats.org/wordprocessingml/2006/main">
  <w:docDefaults>
    <w:rPrDefault>
      <w:rPr/>
    </w:rPrDefault>
    <w:pPrDefault>
      <w:pPr/>
    </w:pPrDefault>
  </w:docDefaults>
  <w:style w:default="on" w:styleId="default" w:type="paragraph">
    <w:name w:val="default"/>
    <w:pPr>
      <w:jc w:val="left"/>
    </w:pPr>
    <w:rPr>
      <w:rFonts w:ascii="Arial" w:hAnsi="Arial"/>
      <w:sz w:val="20"/>
    </w:rPr>
  </w:style>
  <w:style w:styleId="container-block" w:type="paragraph">
    <w:name w:val="container-block"/>
    <w:basedOn w:val="default"/>
    <w:pPr>
      <w:spacing w:after="200"/>
      <w:jc w:val="left"/>
    </w:pPr>
  </w:style>
  <w:style w:styleId="header" w:type="paragraph">
    <w:name w:val="header"/>
    <w:basedOn w:val="default"/>
    <w:pPr>
      <w:shd w:fill="FFFFFF" w:val="clear"/>
      <w:jc w:val="left"/>
    </w:pPr>
    <w:rPr>
      <w:b/>
      <w:color w:val="000000"/>
      <w:sz w:val="32"/>
    </w:rPr>
  </w:style>
  <w:style w:styleId="header-logo" w:type="paragraph">
    <w:name w:val="header-logo"/>
    <w:basedOn w:val="default"/>
    <w:pPr>
      <w:shd w:fill="FFFFFF" w:val="clear"/>
    </w:pPr>
    <w:rPr>
      <w:b/>
      <w:caps/>
      <w:color w:val="FFFFFF"/>
      <w:sz w:val="32"/>
    </w:rPr>
  </w:style>
  <w:style w:styleId="table-cell" w:type="paragraph">
    <w:name w:val="table-cell"/>
    <w:basedOn w:val="default"/>
    <w:pPr/>
  </w:style>
  <w:style w:styleId="footer" w:type="paragraph">
    <w:name w:val="footer"/>
    <w:basedOn w:val="default"/>
    <w:pPr>
      <w:jc w:val="left"/>
    </w:pPr>
    <w:rPr>
      <w:sz w:val="14"/>
    </w:rPr>
  </w:style>
  <w:style w:styleId="headline-content" w:type="paragraph">
    <w:name w:val="headline-content"/>
    <w:basedOn w:val="default"/>
    <w:pPr>
      <w:keepNext/>
      <w:spacing w:after="260" w:before="240"/>
      <w:jc w:val="left"/>
    </w:pPr>
    <w:rPr>
      <w:sz w:val="24"/>
    </w:rPr>
  </w:style>
  <w:style w:styleId="headline-content-0" w:type="paragraph">
    <w:name w:val="headline-content-0"/>
    <w:basedOn w:val="headline-content"/>
    <w:next w:val="par"/>
    <w:pPr>
      <w:keepNext/>
      <w:spacing w:after="0" w:before="240"/>
      <w:jc w:val="left"/>
    </w:pPr>
    <w:rPr>
      <w:b/>
    </w:rPr>
  </w:style>
  <w:style w:styleId="headline-content-0-hidden" w:type="paragraph">
    <w:basedOn w:val="headline-content-0"/>
  </w:style>
  <w:style w:styleId="headline-content-1" w:type="paragraph">
    <w:name w:val="headline-content-1"/>
    <w:basedOn w:val="headline-content"/>
    <w:next w:val="par"/>
    <w:pPr>
      <w:spacing w:after="0"/>
      <w:jc w:val="left"/>
      <w:outlineLvl w:val="0"/>
    </w:pPr>
    <w:rPr>
      <w:sz w:val="16"/>
    </w:rPr>
  </w:style>
  <w:style w:styleId="headline-content-1-hidden" w:type="paragraph">
    <w:basedOn w:val="headline-content-1"/>
  </w:style>
  <w:style w:styleId="label-first" w:type="paragraph">
    <w:name w:val="label-first"/>
    <w:basedOn w:val="default"/>
    <w:pPr>
      <w:spacing w:after="200"/>
    </w:pPr>
    <w:rPr>
      <w:b/>
      <w:sz w:val="20"/>
    </w:rPr>
  </w:style>
  <w:style w:styleId="label" w:type="paragraph">
    <w:name w:val="label"/>
    <w:basedOn w:val="default"/>
    <w:pPr>
      <w:suppressAutoHyphens w:val="on"/>
      <w:spacing w:before="200"/>
      <w:jc w:val="left"/>
    </w:pPr>
    <w:rPr>
      <w:b/>
      <w:sz w:val="20"/>
    </w:rPr>
  </w:style>
  <w:style w:styleId="par" w:type="paragraph">
    <w:name w:val="par"/>
    <w:basedOn w:val="default"/>
    <w:pPr>
      <w:suppressAutoHyphens w:val="on"/>
      <w:spacing w:after="200"/>
      <w:jc w:val="left"/>
    </w:pPr>
    <w:rPr/>
  </w:style>
  <w:style w:styleId="par-first" w:type="paragraph">
    <w:name w:val="par-first"/>
    <w:basedOn w:val="default"/>
    <w:pPr>
      <w:suppressAutoHyphens w:val="on"/>
      <w:spacing w:after="200"/>
      <w:jc w:val="left"/>
    </w:pPr>
    <w:rPr>
      <w:i/>
    </w:rPr>
  </w:style>
  <w:style w:styleId="media" w:type="paragraph">
    <w:name w:val="media"/>
    <w:basedOn w:val="default"/>
    <w:pPr>
      <w:ind w:right="3969"/>
    </w:pPr>
  </w:style>
  <w:style w:styleId="media-caption" w:type="paragraph">
    <w:name w:val="media-caption"/>
    <w:basedOn w:val="default"/>
    <w:pPr>
      <w:spacing w:before="120"/>
    </w:pPr>
    <w:rPr>
      <w:sz w:val="18"/>
    </w:rPr>
  </w:style>
  <w:style w:styleId="PageMargins" w:type="paragraph">
    <w:name w:val="PageMargins"/>
    <w:basedOn w:val="default"/>
    <w:pPr/>
  </w:style>
  <w:style w:styleId="Heading0" w:type="paragraph">
    <w:name w:val="Heading 0"/>
    <w:basedOn w:val="headline-content-0"/>
  </w:style>
  <w:style w:styleId="Heading1" w:type="paragraph">
    <w:name w:val="Heading 1"/>
    <w:basedOn w:val="headline-content-1"/>
  </w:style>
  <w:style w:styleId="Heading2" w:type="paragraph">
    <w:name w:val="Heading 2"/>
    <w:basedOn w:val="headline-content-2"/>
  </w:style>
  <w:style w:styleId="Heading3" w:type="paragraph">
    <w:name w:val="Heading 3"/>
    <w:basedOn w:val="headline-content-3"/>
  </w:style>
  <w:style w:styleId="Heading4" w:type="paragraph">
    <w:name w:val="Heading 4"/>
    <w:basedOn w:val="headline-content-4"/>
  </w:style>
  <w:style w:styleId="Heading5" w:type="paragraph">
    <w:name w:val="Heading 5"/>
    <w:basedOn w:val="headline-content-5"/>
  </w:style>
  <w:style w:styleId="Heading6" w:type="paragraph">
    <w:name w:val="Heading 6"/>
    <w:basedOn w:val="headline-content-6"/>
  </w:style>
  <w:style w:styleId="Heading7" w:type="paragraph">
    <w:name w:val="Heading 7"/>
    <w:basedOn w:val="headline-content-7"/>
  </w:style>
  <w:style w:styleId="headline-content-run0" w:type="character">
    <w:name w:val="headline-content-run 0"/>
  </w:style>
  <w:style w:styleId="headline-content-run1" w:type="character">
    <w:name w:val="headline-content-run 1"/>
  </w:style>
  <w:style w:styleId="headline-content-run2" w:type="character">
    <w:name w:val="headline-content-run 2"/>
  </w:style>
  <w:style w:styleId="headline-content-run3" w:type="character">
    <w:name w:val="headline-content-run 3"/>
  </w:style>
  <w:style w:styleId="headline-content-run4" w:type="character">
    <w:name w:val="headline-content-run 4"/>
  </w:style>
  <w:style w:styleId="headline-content-run5" w:type="character">
    <w:name w:val="headline-content-run 5"/>
  </w:style>
  <w:style w:styleId="headline-content-run6" w:type="character">
    <w:name w:val="headline-content-run 6"/>
  </w:style>
  <w:style w:styleId="headline-content-run7" w:type="character">
    <w:name w:val="headline-content-run 7"/>
  </w:style>
  <w:style w:styleId="TOC1" w:type="paragraph">
    <w:name w:val="toc 1"/>
    <w:basedOn w:val="default"/>
    <w:semiHidden/>
    <w:pPr>
      <w:tabs>
        <w:tab w:leader="dot" w:pos="9639" w:val="right"/>
      </w:tabs>
      <w:spacing w:after="0" w:before="0"/>
      <w:ind w:hanging="0" w:left="0"/>
    </w:pPr>
  </w:style>
  <w:style w:styleId="TOC2" w:type="paragraph">
    <w:name w:val="toc 2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3" w:type="paragraph">
    <w:name w:val="toc 3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4" w:type="paragraph">
    <w:name w:val="toc 4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5" w:type="paragraph">
    <w:name w:val="toc 5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IndexHeading" w:type="paragraph">
    <w:name w:val="index heading"/>
    <w:basedOn w:val="default"/>
  </w:style>
  <w:style w:styleId="Index1" w:type="paragraph">
    <w:name w:val="index 1"/>
    <w:basedOn w:val="default"/>
  </w:style>
  <w:style w:styleId="Index2" w:type="paragraph">
    <w:name w:val="index 2"/>
    <w:basedOn w:val="default"/>
    <w:pPr>
      <w:ind w:hanging="200" w:left="480"/>
    </w:pPr>
  </w:style>
  <w:style w:styleId="TableofFigures" w:type="paragraph">
    <w:name w:val="table of figures"/>
    <w:basedOn w:val="default"/>
  </w:style>
  <w:style w:styleId="FootnoteReference" w:type="character">
    <w:name w:val="footnote reference"/>
    <w:rPr>
      <w:vertAlign w:val="superscript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?><Relationships xmlns="http://schemas.openxmlformats.org/package/2006/relationships"><Relationship Id="rId1" Target="styles.xml" Type="http://schemas.openxmlformats.org/officeDocument/2006/relationships/styles"/><Relationship Id="N10585" Target="header1.xml" Type="http://schemas.openxmlformats.org/officeDocument/2006/relationships/header"/><Relationship Id="N10619" Target="footer1.xml" Type="http://schemas.openxmlformats.org/officeDocument/2006/relationships/footer"/><Relationship Id="N10422" Target="media/N10422.jpg" Type="http://schemas.openxmlformats.org/officeDocument/2006/relationships/image"/><Relationship Id="N10471" Target="media/N10471.jpg" Type="http://schemas.openxmlformats.org/officeDocument/2006/relationships/image"/><Relationship Id="N104C0" Target="media/N104C0.jpg" Type="http://schemas.openxmlformats.org/officeDocument/2006/relationships/image"/><Relationship Id="N1050E" Target="media/N1050E.jpg" Type="http://schemas.openxmlformats.org/officeDocument/2006/relationships/image"/><Relationship Id="rId5" Target="footnotes.xml" Type="http://schemas.openxmlformats.org/officeDocument/2006/relationships/footnotes"/><Relationship Id="rId6" Target="numbering.xml" Type="http://schemas.openxmlformats.org/officeDocument/2006/relationships/numbering"/><Relationship Id="rId7" Target="settings.xml" Type="http://schemas.openxmlformats.org/officeDocument/2006/relationships/settings"/><Relationship Id="rId8" Target="webSettings.xml" Type="http://schemas.openxmlformats.org/officeDocument/2006/relationships/webSettings"/></Relationships>
</file>

<file path=word/_rels/footer1.xml.rels><?xml version="1.0" encoding="UTF-8"?><Relationships xmlns="http://schemas.openxmlformats.org/package/2006/relationships"/>
</file>

<file path=word/_rels/footnotes.xml.rels><?xml version="1.0" encoding="UTF-8"?><Relationships xmlns="http://schemas.openxmlformats.org/package/2006/relationships"/>
</file>

<file path=word/_rels/header1.xml.rels><?xml version="1.0" encoding="UTF-8"?><Relationships xmlns="http://schemas.openxmlformats.org/package/2006/relationships"><Relationship Id="N105EC" Target="media/N105EC.jpg" Type="http://schemas.openxmlformats.org/officeDocument/2006/relationships/image"/></Relationships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>
  <dc:title/>
  <dc:creator>Smart Media Creator</dc:creator>
  <cp:lastModifiedBy>Smart Media Creator</cp:lastModifiedBy>
  <cp:revision>1</cp:revision>
</cp:coreProperties>
</file>