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Innovations Day 2015 a Parma!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Mercoledì 25 febbraio 2015 - Parma</w:t>
      </w:r>
    </w:p>
    <w:p>
      <w:pPr>
        <w:pStyle w:val="par-first"/>
        <w:ind w:left="0"/>
        <w:jc w:val="left"/>
      </w:pPr>
      <w:r>
        <w:rPr>
          <w:i/>
          <w:i/>
        </w:rPr>
        <w:t xml:space="preserve">Anche quest'anno è giunto il momento dell'immancabile appuntamento con l'innovazione targata B&amp;R. A breve distanza dal lancio ufficiale di Norimberga, in Italia solo per un selezionato gruppo di progettisti, saranno presentate le ultime novità tecnologiche e di prodotto B&amp;R. Come di consueto, ad affiancare la parte espositiva, l'evento vedrà una parte convegnistica dove, con demo live e approfondimenti tecnici, sarà possibile saggiare in prima persona quali vantaggi le odierne evoluzioni in ambito automazione porteranno concretamente alle vostre macchine. </w:t>
      </w:r>
    </w:p>
    <w:p>
      <w:pPr>
        <w:pStyle w:val="par"/>
        <w:ind w:left="0"/>
      </w:pPr>
      <w:r>
        <w:rPr/>
        <w:t xml:space="preserve">L'incontro avrà la durata di una giornata e darà modo ai </w:t>
      </w:r>
      <w:r>
        <w:rPr>
          <w:b/>
        </w:rPr>
        <w:t xml:space="preserve">responsabili tecnici e di produzione</w:t>
      </w:r>
      <w:r>
        <w:rPr/>
        <w:t xml:space="preserve"> di approfondire quali siano i benefici ottenibili grazie all'impiego delle nuove tecnologie B&amp;R. In particolare saranno messi in evidenza gli effetti in termini di prestazioni, sicurezza, produttività, tempi di messa in servizio e costi di esercizio.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Qualche anticipazione sulle novità?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rPr>
          <w:b/>
        </w:rPr>
        <w:t xml:space="preserve">mapp Technology:</w:t>
      </w:r>
      <w:r>
        <w:t xml:space="preserve"> la tecnologia software che permette di ridurre i tempi di sviluppo del 67%.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rPr>
          <w:b/>
        </w:rPr>
        <w:t xml:space="preserve">ACOPOS P3:</w:t>
      </w:r>
      <w:r>
        <w:t xml:space="preserve"> la soluzione di controllo assi compatta, veloce, efficiente e sicura. 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rPr>
          <w:b/>
        </w:rPr>
        <w:t xml:space="preserve">Interfacce uomo-macchina:</w:t>
      </w:r>
      <w:r>
        <w:t xml:space="preserve"> compattezza senza compromessi per prestazioni e dotazione di interfacce. 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rPr>
          <w:b/>
        </w:rPr>
        <w:t xml:space="preserve">Algoritmi avanzati per il Motion Control:</w:t>
      </w:r>
      <w:r>
        <w:t xml:space="preserve"> nuove funzioni per il controllo del movimento gestite direttamente dall'azionamento.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rPr>
          <w:b/>
        </w:rPr>
        <w:t xml:space="preserve">Integrated Safety:</w:t>
      </w:r>
      <w:r>
        <w:t xml:space="preserve"> nuove funzioni di sicurezza integrate nei dispositivi e nuovi componenti.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Ospiti speciali</w:t>
      </w:r>
    </w:p>
    <w:p>
      <w:pPr>
        <w:pStyle w:val="par"/>
        <w:ind w:left="0"/>
      </w:pPr>
      <w:r>
        <w:rPr/>
        <w:t xml:space="preserve">Nella giornata troveranno spazio gli interventi di due ospiti prestigiosi: Comau Robotics, che presenterà il controllo dei robot perfettamente e facilmente integrato all'interno del sistema di automazione, e il Laboratorio LIAM, che illustrerà i risultati del benchmark sul processo di progettazione software messo a punto per la valutazione della nuova tecnologia mapp.</w:t>
      </w:r>
    </w:p>
    <w:p>
      <w:pPr>
        <w:pStyle w:val="par"/>
        <w:ind w:left="0"/>
      </w:pPr>
      <w:r>
        <w:rPr/>
        <w:t xml:space="preserve">Evento a numero chiuso, partecipazione su invito.</w:t>
      </w:r>
    </w:p>
    <w:p/>
    <w:bookmarkStart w:id="7" w:name="_XREFN1006D"/>
    <w:bookmarkStart w:id="8" w:name="_XREFN10072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910432"/>
            <wp:effectExtent b="0" l="0" r="0" t="0"/>
            <wp:docPr id="1" name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1"/>
                    <pic:cNvPicPr/>
                  </pic:nvPicPr>
                  <pic:blipFill>
                    <a:blip xmlns:r="http://schemas.openxmlformats.org/officeDocument/2006/relationships" cstate="print" r:embed="N1049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End w:id="7"/>
    <w:bookmarkStart w:id="9" w:name="_XREFN100CF"/>
    <w:bookmarkStart w:id="10" w:name="_XREFN100D4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1608"/>
            <wp:effectExtent b="0" l="0" r="0" t="0"/>
            <wp:docPr id="2" name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2"/>
                    <pic:cNvPicPr/>
                  </pic:nvPicPr>
                  <pic:blipFill>
                    <a:blip xmlns:r="http://schemas.openxmlformats.org/officeDocument/2006/relationships" cstate="print" r:embed="N104D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54B" w:type="default"/>
      <w:footerReference xmlns:r="http://schemas.openxmlformats.org/officeDocument/2006/relationships" r:id="N105D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B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4B" Target="header1.xml" Type="http://schemas.openxmlformats.org/officeDocument/2006/relationships/header"/><Relationship Id="N105DF" Target="footer1.xml" Type="http://schemas.openxmlformats.org/officeDocument/2006/relationships/footer"/><Relationship Id="N10491" Target="media/N10491.jpg" Type="http://schemas.openxmlformats.org/officeDocument/2006/relationships/image"/><Relationship Id="N104D4" Target="media/N104D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B2" Target="media/N105B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