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人与机器人携手工作</w:t>
      </w:r>
    </w:p>
    <w:p>
      <w:pPr>
        <w:pStyle w:val="label-first"/>
        <w:keepNext/>
        <w:ind w:left="0"/>
      </w:pPr>
      <w:r>
        <w:rPr>
          <w:b/>
          <w:sz w:val="20"/>
        </w:rPr>
        <w:t xml:space="preserve">贝加莱在Anuga FoodTec展会上推出全新方案</w:t>
      </w:r>
    </w:p>
    <w:p>
      <w:pPr>
        <w:pStyle w:val="par-first"/>
        <w:ind w:left="0"/>
        <w:jc w:val="left"/>
      </w:pPr>
      <w:r>
        <w:rPr>
          <w:i/>
          <w:i/>
        </w:rPr>
        <w:t xml:space="preserve">食品饮料行业中人与机器人协作的全新方案将成为贝加莱展会上的焦点，Hall 7 / Booth 39，Anuga FoodTec展会，3月24-27日，科隆，德国。</w:t>
      </w:r>
    </w:p>
    <w:p>
      <w:pPr>
        <w:pStyle w:val="par"/>
        <w:ind w:left="0"/>
      </w:pPr>
      <w:r>
        <w:rPr/>
        <w:t xml:space="preserve">“我们的SafeROBOTICS功能无需使用安全笼，允许机器人和操作员一起携手工作，”贝加莱食品饮料行业全球客户经理Enrico Paolucci解释道。除了完善的机器人关节及工具中心点（TCP）速度监测功能之外，贝加莱SafeROBOTICS功能范围已扩展至包括工作区边界监测和工具安装法兰定位。“这使其更易于实现工业4.0所要求的高灵活性以及机器人与自动化的紧密结合。”</w:t>
      </w:r>
    </w:p>
    <w:p>
      <w:pPr>
        <w:pStyle w:val="par"/>
        <w:ind w:left="0"/>
      </w:pPr>
      <w:r>
        <w:rPr/>
        <w:t xml:space="preserve">“随着第四次工业革命的到来，生产过程的复杂性正在快速增加，”Paolucci说道。为了努力应对这些挑战，食品饮料企业正在越来越多地采用自动化技术。“这就是为什么我们在今年第一次参加Anuga FoodTec展会的原因。”贝加莱能够为食品饮料厂商提供集成自动化解决方案，可以在他们迈向工业4.0的过程中增加其竞争力。</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B&amp;R technology provides the high degree of production flexibility essential for companies in the food and beverage industry to meet the challenges of the future. A control and drive system from B&amp;R allows this palletizer to react to changes in the production process – flexibly and fully automatically.</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