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Gestionar robots de manera más rápida y fácil</w:t>
      </w:r>
    </w:p>
    <w:p>
      <w:pPr>
        <w:pStyle w:val="label-first"/>
        <w:keepNext/>
        <w:ind w:left="0"/>
      </w:pPr>
      <w:r>
        <w:rPr>
          <w:b/>
          <w:sz w:val="20"/>
        </w:rPr>
        <w:t xml:space="preserve">B&amp;R amplia el portfolio de la tecnología mapp para incluir bloques de cinemática de robots.</w:t>
      </w:r>
    </w:p>
    <w:p>
      <w:pPr>
        <w:pStyle w:val="par-first"/>
        <w:ind w:left="0"/>
        <w:jc w:val="left"/>
      </w:pPr>
      <w:r>
        <w:rPr>
          <w:i/>
          <w:i/>
        </w:rPr>
        <w:t xml:space="preserve">B&amp;R está ampliando el ya extenso portfolio de su tecnología con mapp, que incluye bloques de funciones para los sistemas de cinemática de los robots más utilizados. No sólo permite gestionar los robots mucho más rápidamente, sino que también facilita sustancialmente las tareas de mantenimiento y diagnóstico.</w:t>
      </w:r>
    </w:p>
    <w:p>
      <w:pPr>
        <w:pStyle w:val="par"/>
        <w:ind w:left="0"/>
      </w:pPr>
      <w:r>
        <w:rPr/>
        <w:t xml:space="preserve">Las nuevas funciones robóticas de mapp incluyen cinemática de robots en serie o paralelos, como por ejemplo los SCARA o los robots delta. La interfaz de usuario se basa en métodos de programación IEC 61131 habituales. Las funciones robóticas se integran perfectamente en el sistema global, por lo que no es necesario contar con un controlador robótico especial.</w:t>
      </w:r>
    </w:p>
    <w:p>
      <w:pPr>
        <w:pStyle w:val="label"/>
        <w:keepNext/>
        <w:ind w:left="0"/>
      </w:pPr>
      <w:r>
        <w:rPr>
          <w:b/>
          <w:sz w:val="20"/>
        </w:rPr>
        <w:t xml:space="preserve">Configurando, no programando</w:t>
      </w:r>
    </w:p>
    <w:p>
      <w:pPr>
        <w:pStyle w:val="par"/>
        <w:ind w:left="0"/>
      </w:pPr>
      <w:r>
        <w:rPr/>
        <w:t xml:space="preserve">La cinemática de los robots en sí, se configura gráficamente mediante una interfaz web. No es necesario programar en el sentido convencional. Los bloques de mapp pueden incluso gestionar operaciones manuales como el movimiento punto a punto o la trayectoria del punto central de la herramienta. Los técnicos pueden llevar a cabo diagnósticos del robot a través de una interfaz web muy fácil de manejar.</w:t>
      </w:r>
    </w:p>
    <w:p>
      <w:pPr>
        <w:pStyle w:val="par"/>
        <w:ind w:left="0"/>
      </w:pPr>
      <w:r>
        <w:rPr/>
        <w:t xml:space="preserve">La tecnología mapp está formada por bloques encapsulados individualmente que optimizan el desarrollo del nuevo software. Los bloques proporcionan funcionalidades básicas y se configuran gráficamente. Cada componente mapp extrae la información que necesita de otros componentes usando un modelo cliente-servidor. Con la tecnología mapp, el desarrollo de software se reduce en un 67% de media. </w:t>
      </w:r>
    </w:p>
    <w:p/>
    <w:bookmarkStart w:id="6" w:name="_XREFN1009B"/>
    <w:bookmarkStart w:id="7" w:name="_XREFN100B8"/>
    <w:p>
      <w:pPr>
        <w:keepNext/>
        <w:spacing w:after="20" w:before="0"/>
        <w:ind w:left="0"/>
      </w:pPr>
      <w:r>
        <w:drawing>
          <wp:inline xmlns:wp="http://schemas.openxmlformats.org/drawingml/2006/wordprocessingDrawing" distB="0" distL="0" distR="0" distT="0">
            <wp:extent cx="3600000" cy="2401172"/>
            <wp:effectExtent b="0" l="0" r="0" t="0"/>
            <wp:docPr id="1" name="mapp robotic ea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robotic easy"/>
                    <pic:cNvPicPr/>
                  </pic:nvPicPr>
                  <pic:blipFill>
                    <a:blip xmlns:r="http://schemas.openxmlformats.org/officeDocument/2006/relationships" cstate="print" r:embed="N1039A"/>
                    <a:stretch>
                      <a:fillRect/>
                    </a:stretch>
                  </pic:blipFill>
                  <pic:spPr>
                    <a:xfrm>
                      <a:off x="0" y="0"/>
                      <a:ext cx="3600000" cy="2401172"/>
                    </a:xfrm>
                    <a:prstGeom prst="rect">
                      <a:avLst/>
                    </a:prstGeom>
                  </pic:spPr>
                </pic:pic>
              </a:graphicData>
            </a:graphic>
          </wp:inline>
        </w:drawing>
      </w:r>
    </w:p>
    <w:p>
      <w:pPr>
        <w:pStyle w:val="media-caption"/>
        <w:ind w:left="0"/>
      </w:pPr>
      <w:r>
        <w:t xml:space="preserve">Con la tecnología mapp los robots se pueden gestionar mucho más rápida y fácilmente.</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