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Mise en route simple et rapide des robots</w:t>
      </w:r>
    </w:p>
    <w:p>
      <w:pPr>
        <w:pStyle w:val="label-first"/>
        <w:keepNext/>
        <w:ind w:left="0"/>
      </w:pPr>
      <w:r>
        <w:rPr>
          <w:b/>
          <w:sz w:val="20"/>
        </w:rPr>
        <w:t xml:space="preserve">B&amp;R étend sa technologie mapp pour y inclure des blocs dédiés aux cinématiques robotiques.</w:t>
      </w:r>
    </w:p>
    <w:p>
      <w:pPr>
        <w:pStyle w:val="par-first"/>
        <w:ind w:left="0"/>
        <w:jc w:val="left"/>
      </w:pPr>
      <w:r>
        <w:rPr>
          <w:i/>
          <w:i/>
        </w:rPr>
        <w:t xml:space="preserve">B&amp;R étend sa technologie mapp en proposant des blocs de fonctions pour toutes les cinématiques robotiques usuelles.    Ces nouveaux blocs mapp permettent une mise en service bien plus rapide des robots. De plus, ils simplifient grandement le diagnostic et la maintenance.</w:t>
      </w:r>
    </w:p>
    <w:p>
      <w:pPr>
        <w:pStyle w:val="par"/>
        <w:ind w:left="0"/>
      </w:pPr>
      <w:r>
        <w:rPr/>
        <w:t xml:space="preserve">Les nouvelles fonctions robotiques mapp incluent les cinématiques sérielles et parallèles ainsi que les robots SCARA et delta. L'interface utilisateur reste un éditeur IEC 61131 standard. Totalement intégrées au système d'automatisation, les fonctions robotiques mapp permettent de se passer de tout contrôleur de robot dédié.</w:t>
      </w:r>
    </w:p>
    <w:p>
      <w:pPr>
        <w:pStyle w:val="label"/>
        <w:keepNext/>
        <w:ind w:left="0"/>
      </w:pPr>
      <w:r>
        <w:rPr>
          <w:b/>
          <w:sz w:val="20"/>
        </w:rPr>
        <w:t xml:space="preserve">Configurer au lieu de programmer</w:t>
      </w:r>
    </w:p>
    <w:p>
      <w:pPr>
        <w:pStyle w:val="par"/>
        <w:ind w:left="0"/>
      </w:pPr>
      <w:r>
        <w:rPr/>
        <w:t xml:space="preserve">La cinématique du robot se configure graphiquement via une interface web. Il n'est donc plus nécessaire d'écrire des lignes de code. Les blocs mapp permettent même de réaliser des mouvements manuels comme le jog ou le positionnement point à point. Le robot peut être aussi diagnostiqué avec la même simplicité, via une interface web conviviale.</w:t>
      </w:r>
    </w:p>
    <w:p>
      <w:pPr>
        <w:pStyle w:val="par"/>
        <w:ind w:left="0"/>
      </w:pPr>
      <w:r>
        <w:rPr/>
        <w:t xml:space="preserve">La technologie mapp repose sur l'encapsulation de blocs de fonctions individuels. Les nouveaux blocs ainsi constitués simplifient le développement des nouveaux programmes. Les blocs mapp fournissent des fonctionnalités de base et se configurent graphiquement. Selon le principe client-serveur, chaque composant mapp se procure les données dont il a besoin auprès d'autres composants.  Avec la technologie mapp, le temps de développement d'une application est réduit en moyenne de 67%. </w:t>
      </w:r>
    </w:p>
    <w:p/>
    <w:bookmarkStart w:id="6" w:name="_XREFN1009B"/>
    <w:bookmarkStart w:id="7" w:name="_XREFN100B8"/>
    <w:p>
      <w:pPr>
        <w:keepNext/>
        <w:spacing w:after="20" w:before="0"/>
        <w:ind w:left="0"/>
      </w:pPr>
      <w:r>
        <w:drawing>
          <wp:inline xmlns:wp="http://schemas.openxmlformats.org/drawingml/2006/wordprocessingDrawing" distB="0" distL="0" distR="0" distT="0">
            <wp:extent cx="3600000" cy="2401172"/>
            <wp:effectExtent b="0" l="0" r="0" t="0"/>
            <wp:docPr id="1" name="mapp robotic ea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p robotic easy"/>
                    <pic:cNvPicPr/>
                  </pic:nvPicPr>
                  <pic:blipFill>
                    <a:blip xmlns:r="http://schemas.openxmlformats.org/officeDocument/2006/relationships" cstate="print" r:embed="N1039A"/>
                    <a:stretch>
                      <a:fillRect/>
                    </a:stretch>
                  </pic:blipFill>
                  <pic:spPr>
                    <a:xfrm>
                      <a:off x="0" y="0"/>
                      <a:ext cx="3600000" cy="2401172"/>
                    </a:xfrm>
                    <a:prstGeom prst="rect">
                      <a:avLst/>
                    </a:prstGeom>
                  </pic:spPr>
                </pic:pic>
              </a:graphicData>
            </a:graphic>
          </wp:inline>
        </w:drawing>
      </w:r>
    </w:p>
    <w:p>
      <w:pPr>
        <w:pStyle w:val="media-caption"/>
        <w:ind w:left="0"/>
      </w:pPr>
      <w:r>
        <w:t xml:space="preserve">Avec la technologie mapp, les robots sont mis en route plus facilement et plus rapidement.</w:t>
      </w:r>
    </w:p>
    <w:bookmarkEnd w:id="7"/>
    <w:bookmarkEnd w:id="6"/>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1B" w:type="default"/>
      <w:footerReference xmlns:r="http://schemas.openxmlformats.org/officeDocument/2006/relationships" r:id="N104A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8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1B" Target="header1.xml" Type="http://schemas.openxmlformats.org/officeDocument/2006/relationships/header"/><Relationship Id="N104AF" Target="footer1.xml" Type="http://schemas.openxmlformats.org/officeDocument/2006/relationships/footer"/><Relationship Id="N1039A" Target="media/N1039A.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82" Target="media/N1048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