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Robôs da Comissão de forma rápida e fácil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 B&amp;R expande o portfólio de tecnologia mapp para incluir blocos para cinemática robótica.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 &amp; R está expandindo seu já extenso portfólio de </w:t>
      </w:r>
      <w:r>
        <w:rPr>
          <w:i/>
          <w:i/>
        </w:rPr>
        <w:t>mapp technology</w:t>
      </w:r>
      <w:r>
        <w:rPr>
          <w:i/>
          <w:i/>
        </w:rPr>
        <w:t xml:space="preserve"> para incluir blocos de função para todos os sistemas cinemáticos robóticos mais utilizados. Isso não só permite aos usuários encomendar robôs muito mais rapidamente, mas também facilita a manutenção e o diagnóstico.</w:t>
      </w:r>
    </w:p>
    <w:p>
      <w:pPr>
        <w:pStyle w:val="par"/>
        <w:ind w:left="0"/>
      </w:pPr>
      <w:r>
        <w:rPr/>
        <w:t xml:space="preserve">As novas funções robóticas no mapp incluem cinemática de robôs serial e paralelo, como SCARA e robôs delta. A interface do usuário baseia-se em métodos de programação IEC 61131 familiares. As funções robotizadas se integram perfeitamente ao sistema geral, portanto, não há necessidade de um controlador de robótica dedicado.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Configurando, não programando</w:t>
      </w:r>
    </w:p>
    <w:p>
      <w:pPr>
        <w:pStyle w:val="par"/>
        <w:ind w:left="0"/>
      </w:pPr>
      <w:r>
        <w:rPr/>
        <w:t xml:space="preserve">A própria cinemática do robô é configurada graficamente em uma interface web conveniente. A programação no sentido convencional não é necessária. Os blocos mapp podem até mesmo lidar com operações manuais, como jogging e movimento ponto a ponto do ponto central da ferramenta. Os técnicos podem executar diagnósticos no robô através da interface web fácil de usar.</w:t>
      </w:r>
    </w:p>
    <w:p>
      <w:pPr>
        <w:pStyle w:val="par"/>
        <w:ind w:left="0"/>
      </w:pPr>
      <w:r>
        <w:rPr/>
        <w:t xml:space="preserve">A tecnologia mapp consiste em blocos individualmente encapsulados que simplificam o desenvolvimento de novos softwares. Os componentes fornecem funcionalidades básicas e são configurados graficamente. Cada componente mapp recupera os dados que ele precisa de outros componentes usando um modelo cliente-servidor. Com a tecnologia mapp, o desenvolvimento de software aplicativo é acelerado em média 67%. </w:t>
      </w:r>
    </w:p>
    <w:p/>
    <w:bookmarkStart w:id="6" w:name="_XREFN1009B"/>
    <w:bookmarkStart w:id="7" w:name="_XREFN100B8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mapp robotic ea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robotic easy"/>
                    <pic:cNvPicPr/>
                  </pic:nvPicPr>
                  <pic:blipFill>
                    <a:blip xmlns:r="http://schemas.openxmlformats.org/officeDocument/2006/relationships" cstate="print" r:embed="N103A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Os robôs podem ser encomendados de forma muito mais rápida e fácil com a tecnologia mapp.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30" w:type="default"/>
      <w:footerReference xmlns:r="http://schemas.openxmlformats.org/officeDocument/2006/relationships" r:id="N104C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0" Target="header1.xml" Type="http://schemas.openxmlformats.org/officeDocument/2006/relationships/header"/><Relationship Id="N104C4" Target="footer1.xml" Type="http://schemas.openxmlformats.org/officeDocument/2006/relationships/footer"/><Relationship Id="N103AF" Target="media/N103A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7" Target="media/N1049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