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Bezpečnostní technologie pro dřevozpracující průmysl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představuje ekonomická řešení pro oblast bezpečnosti na veletrhu Ligna 2015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Programovatelné bezpečnostní technologie již nejsou dražší než konvenční bezpečnostní relé!  Nové bezpečnostní I/O moduly od společnosti B&amp;R nabízí programovatelné bezpečnostní technologie v úsporném řešení již od nejmenších aplikací pro zpracování dřeva.  Tyto a další novinky budou k vidění od 11.-15. května v Hannoveru na veletrhu Ligna - hala 17 / stánek G20.</w:t>
      </w:r>
    </w:p>
    <w:p>
      <w:pPr>
        <w:pStyle w:val="par"/>
        <w:ind w:left="0"/>
      </w:pPr>
      <w:r>
        <w:rPr/>
        <w:t xml:space="preserve">Dalším způsobem, jak B&amp;R pomáhá svým zákazníkům vypořádat se s tlakem nákladů v oblasti dřevozpracujícího průmyslu, jsou kompaktní řídicí jednotky.  Ty jsou navrženy tak, aby šetřily místo a optimalizovaly náklady. Nové B&amp;R web terminály (Power Panel T-Series) a terminály s integrovanými řídícími jednotkami (Power Panel C-Series) jsou ideální pro dřevozpracující průmysl - díky svému krytí IP65 jsou vhodné pro drsné podmínky typické pro toto odvětví.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Expertní znalosti v oboru zpracování plastů a technologie WPC</w:t>
      </w:r>
    </w:p>
    <w:p>
      <w:pPr>
        <w:pStyle w:val="par"/>
        <w:ind w:left="0"/>
      </w:pPr>
      <w:r>
        <w:rPr/>
        <w:t xml:space="preserve">Dřevo-plastové kompozity (WPC) představují slibný trh pro dřevařský průmysl.  Výroba WPC zahrnuje techniky, jako je vytlačování a vstřikování - to jsou nekonvenční procesy při zpracování dřeva.  To je oblast, kde zákazníci B&amp;R mohou profitovat při využití mnoholetých zkušeností společnosti B&amp;R v oboru zpracování plastů.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představí své nejnovější inovace pro dřevozpracující průmysl na veletrhu Ligna 2015.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