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apoya la Fundación OPC y sus grupos de trabajo en tiempo real</w:t>
      </w:r>
    </w:p>
    <w:p>
      <w:pPr>
        <w:pStyle w:val="label-first"/>
        <w:keepNext/>
        <w:ind w:left="0"/>
      </w:pPr>
      <w:r>
        <w:rPr>
          <w:b/>
          <w:sz w:val="20"/>
        </w:rPr>
        <w:t xml:space="preserve">OPC UA amplia su campo de aplicaciones</w:t>
      </w:r>
    </w:p>
    <w:p>
      <w:pPr>
        <w:pStyle w:val="par-first"/>
        <w:ind w:left="0"/>
        <w:jc w:val="left"/>
      </w:pPr>
      <w:r>
        <w:rPr>
          <w:i/>
          <w:i/>
        </w:rPr>
        <w:t xml:space="preserve">B&amp;R dará su apoyo a los nuevos grupos de trabajo de la Fundación OPC, cuyo objetivo es añadir capacidad en tiempo real al estándar de comunicación OPC UA. Esto implicará dos incorporaciones clave al estándar OPC UA. El primero es un modelo editor - subscriptor; el otro es la utilización de la norma IEEE 802.1 para redes sensibles al tiempo (TSN). </w:t>
      </w:r>
    </w:p>
    <w:p>
      <w:pPr>
        <w:pStyle w:val="par"/>
        <w:ind w:left="0"/>
      </w:pPr>
      <w:r>
        <w:rPr/>
        <w:t xml:space="preserve">B&amp;R contribuirá con los grupos de trabajo aportando su experiencia en el tiempo real. "Las actualizaciones al estándar OPC UA se beneficiarán de nuestros años de experiencia en el desarrollo de soluciones en tiempo real," comenta Stefan Schönegger, Director de Marketing de B&amp;R.</w:t>
      </w:r>
    </w:p>
    <w:p>
      <w:pPr>
        <w:pStyle w:val="label"/>
        <w:keepNext/>
        <w:ind w:left="0"/>
      </w:pPr>
      <w:r>
        <w:rPr>
          <w:b/>
          <w:sz w:val="20"/>
        </w:rPr>
        <w:t xml:space="preserve">Velocidades más altas</w:t>
      </w:r>
    </w:p>
    <w:p>
      <w:pPr>
        <w:pStyle w:val="par"/>
        <w:ind w:left="0"/>
      </w:pPr>
      <w:r>
        <w:rPr/>
        <w:t xml:space="preserve">OPC UA ya cuenta con la conocida arquitectura cliente - servidor. El modelo editor - subscriptor añadirá la comunicación de uno-a-muchos y de muchos-a-muchos que proporcionará beneficios decisivos para la velocidad de comunicación en los sistemas de gran distribución. "Este es un requisito fundamental para la comunicación M2M que se encuentra en los sistemas integrados como en las líneas de empaquetado", explica Schönegger. POWERLINK también está estructurado con esta misma arquitectura.</w:t>
      </w:r>
    </w:p>
    <w:p>
      <w:pPr>
        <w:pStyle w:val="label"/>
        <w:keepNext/>
        <w:ind w:left="0"/>
      </w:pPr>
      <w:r>
        <w:rPr>
          <w:b/>
          <w:sz w:val="20"/>
        </w:rPr>
        <w:t xml:space="preserve">Capacidad en tiempo real para el estándar OPC UA</w:t>
      </w:r>
    </w:p>
    <w:p>
      <w:pPr>
        <w:pStyle w:val="par"/>
        <w:ind w:left="0"/>
      </w:pPr>
      <w:r>
        <w:rPr/>
        <w:t xml:space="preserve">Con el fin de poder cumplir con los requisitos de tiempo real, el estándar OPC UA hará uso de la norma IEEE 802.1 TSN. "Por el momento, TSN sigue siendo un título de trabajo para un grupo de nuevos estándares IEEE diseñados para proporcionar capacidad nativa en tiempo real al estándar Ethernet IEEE 802", dice Schönegger. Esto permitiría una transición sin problemas y sustancialmente más rápido a los estándares de Ethernet como POWERLINK para la comunicación a nivel de campo y para exigentes tareas de control de movimiento. </w:t>
      </w:r>
    </w:p>
    <w:p>
      <w:pPr>
        <w:pStyle w:val="par"/>
        <w:ind w:left="0"/>
      </w:pPr>
      <w:r>
        <w:rPr/>
        <w:t xml:space="preserve">Más allá de la industria de la automatización, TSN está también siendo evaluado por las industrias automotriz y de telecomunicaciones. "Se espera que los primeros coches basados en TSN lleguen al mercado en un futuro muy cercano" informa Schönegger. Esto ayudaría a asegurar la disponibilidad generalizada de esta tecnología. Además de B&amp;R, los nuevos grupos de trabajo de OPC también tendrán el apoyo de otros líderes en el campo de la automatización, tal como anunció KUKA el 13 de Abril, 2015.</w:t>
      </w:r>
    </w:p>
    <w:p>
      <w:pPr>
        <w:pStyle w:val="label"/>
        <w:keepNext/>
        <w:ind w:left="0"/>
      </w:pPr>
      <w:r>
        <w:rPr>
          <w:b/>
          <w:sz w:val="20"/>
        </w:rPr>
        <w:t xml:space="preserve">Paquete Total: OPC UA y POWERLINK </w:t>
      </w:r>
    </w:p>
    <w:p>
      <w:pPr>
        <w:pStyle w:val="par"/>
        <w:ind w:left="0"/>
      </w:pPr>
      <w:r>
        <w:rPr/>
        <w:t xml:space="preserve">OPC UA ya juega un papel central en las áreas relacionadas con las tecnologías de los sistemas de producción modernos. "La incorporación de TSN y el modelo de editor-suscriptor ampliará considerablemente la gama de aplicaciones potenciales del OPC UA", dice Schönegger. Junto con el estándar abierto POWERLINK y openSAFETY, el resultado es un paquete total de comunicación Ethernet seguro y consistente a lo largo del proceso hasta el nivel de sensor.</w:t>
      </w:r>
    </w:p>
    <w:p/>
    <w:bookmarkStart w:id="8" w:name="_XREFN1009B"/>
    <w:bookmarkStart w:id="9" w:name="_XREFN100B9"/>
    <w:p>
      <w:pPr>
        <w:keepNext/>
        <w:spacing w:after="20" w:before="0"/>
        <w:ind w:left="0"/>
      </w:pPr>
      <w:r>
        <w:drawing>
          <wp:inline xmlns:wp="http://schemas.openxmlformats.org/drawingml/2006/wordprocessingDrawing" distB="0" distL="0" distR="0" distT="0">
            <wp:extent cx="3600000" cy="2401172"/>
            <wp:effectExtent b="0" l="0" r="0" t="0"/>
            <wp:docPr id="1" name="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real time TSN"/>
                    <pic:cNvPicPr/>
                  </pic:nvPicPr>
                  <pic:blipFill>
                    <a:blip xmlns:r="http://schemas.openxmlformats.org/officeDocument/2006/relationships" cstate="print" r:embed="N103E4"/>
                    <a:stretch>
                      <a:fillRect/>
                    </a:stretch>
                  </pic:blipFill>
                  <pic:spPr>
                    <a:xfrm>
                      <a:off x="0" y="0"/>
                      <a:ext cx="3600000" cy="2401172"/>
                    </a:xfrm>
                    <a:prstGeom prst="rect">
                      <a:avLst/>
                    </a:prstGeom>
                  </pic:spPr>
                </pic:pic>
              </a:graphicData>
            </a:graphic>
          </wp:inline>
        </w:drawing>
      </w:r>
    </w:p>
    <w:p>
      <w:pPr>
        <w:pStyle w:val="media-caption"/>
        <w:ind w:left="0"/>
      </w:pPr>
      <w:r>
        <w:t xml:space="preserve">La Fundación OPC tiene previsto añadir capacidad en tiempo real al protocolo OPC UA.</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6"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6" Target="header1.xml" Type="http://schemas.openxmlformats.org/officeDocument/2006/relationships/header"/><Relationship Id="N104FA"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D" Target="media/N104C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