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soutient les groupes de travail temps réel de la Fondation OPC</w:t>
      </w:r>
    </w:p>
    <w:p>
      <w:pPr>
        <w:pStyle w:val="label-first"/>
        <w:keepNext/>
        <w:ind w:left="0"/>
      </w:pPr>
      <w:r>
        <w:rPr>
          <w:b/>
          <w:sz w:val="20"/>
        </w:rPr>
        <w:t xml:space="preserve">OPC UA aura un champ d'applications plus étendu</w:t>
      </w:r>
    </w:p>
    <w:p>
      <w:pPr>
        <w:pStyle w:val="par-first"/>
        <w:ind w:left="0"/>
        <w:jc w:val="left"/>
      </w:pPr>
      <w:r>
        <w:rPr>
          <w:i/>
          <w:i/>
        </w:rPr>
        <w:t xml:space="preserve">B&amp;R soutient les nouveaux groupes de travail de la Fondation OPC UA dont l'objectif est de doter le standard de communication OPC UA de capacités temps réel.  Cette évolution passera essentiellement par deux extensions au standard OPC UA actuel. D'une part, un modèle Publish-Subscribe sera mis en place. D'autre part, le standard TSN (Time Sensitive Networks) défini dans la norme IEEE 802.1 sera également utilisé. </w:t>
      </w:r>
    </w:p>
    <w:p>
      <w:pPr>
        <w:pStyle w:val="par"/>
        <w:ind w:left="0"/>
      </w:pPr>
      <w:r>
        <w:rPr/>
        <w:t xml:space="preserve">Le groupe de travail bénéficiera de l'expertise de B&amp;R dans le  développement de standards temps réel. "Nos années d'expérience dans le développement de solutions temps réel seront bénéfiques pour les nouvelles extensions d'OPC UA," explique Stefan Schönegger, directeur marketing de B&amp;R.</w:t>
      </w:r>
    </w:p>
    <w:p>
      <w:pPr>
        <w:pStyle w:val="label"/>
        <w:keepNext/>
        <w:ind w:left="0"/>
      </w:pPr>
      <w:r>
        <w:rPr>
          <w:b/>
          <w:sz w:val="20"/>
        </w:rPr>
        <w:t xml:space="preserve">Communication plus rapide</w:t>
      </w:r>
    </w:p>
    <w:p>
      <w:pPr>
        <w:pStyle w:val="par"/>
        <w:ind w:left="0"/>
      </w:pPr>
      <w:r>
        <w:rPr/>
        <w:t xml:space="preserve">OPC UA intègre déjà le modèle bien connu client-serveur. Le modèle Publish-Subscribe ajoutera la communication d'un à plusieurs participants ainsi que communication de plusieurs à plusieurs participants. Dans les grands systèmes décentralisés, cela aura un effet déterminant sur la vitesse de communication.  "C'est une exigence fondamentale pour la communication de machine à machine que l'on trouve, par exemple, sur les lignes de conditionnement," explique Stefan Schönegger.  POWERLINK repose également sur ce type de mécanisme.</w:t>
      </w:r>
    </w:p>
    <w:p>
      <w:pPr>
        <w:pStyle w:val="label"/>
        <w:keepNext/>
        <w:ind w:left="0"/>
      </w:pPr>
      <w:r>
        <w:rPr>
          <w:b/>
          <w:sz w:val="20"/>
        </w:rPr>
        <w:t xml:space="preserve">Capacités temps réel pour le standard OPC UA</w:t>
      </w:r>
    </w:p>
    <w:p>
      <w:pPr>
        <w:pStyle w:val="par"/>
        <w:ind w:left="0"/>
      </w:pPr>
      <w:r>
        <w:rPr/>
        <w:t xml:space="preserve">Pour répondre aux besoins de temps réel, OPC UA s'appuiera sur le standard TSN IEEE 802.1. "Pour le moment, TSN désigne les travaux en cours autour des nouveaux standards IEEE pour rendre l'Ethernet IEEE 802 nativement temps réel," explique S. Schönegger. Ceci permettrait une transition harmonieuse avec les réseaux Ethernet plus rapides comme POWERLINK utilisés pour la communication de terrain et le contrôle de mouvements. </w:t>
      </w:r>
    </w:p>
    <w:p>
      <w:pPr>
        <w:pStyle w:val="par"/>
        <w:ind w:left="0"/>
      </w:pPr>
      <w:r>
        <w:rPr/>
        <w:t xml:space="preserve">Outre l'industrie des automatismes, d'autres secteurs comme l'automobile et les télécommunications évaluent aussi TSN actuellement. "Les premières voitures basées sur TSN doivent arriver sur le marché très prochainement," rapporte S. Schönegger. La technologie deviendrait ainsi largement disponible. Comme l'a annoncé KUKA le 13 avril 2015, la création des groupes de travail OPC sera soutenue des grands noms du secteur des automatismes, dont B&amp;R.</w:t>
      </w:r>
    </w:p>
    <w:p>
      <w:pPr>
        <w:pStyle w:val="label"/>
        <w:keepNext/>
        <w:ind w:left="0"/>
      </w:pPr>
      <w:r>
        <w:rPr>
          <w:b/>
          <w:sz w:val="20"/>
        </w:rPr>
        <w:t xml:space="preserve">OPC UA et POWERLINK : une solution complète </w:t>
      </w:r>
    </w:p>
    <w:p>
      <w:pPr>
        <w:pStyle w:val="par"/>
        <w:ind w:left="0"/>
      </w:pPr>
      <w:r>
        <w:rPr/>
        <w:t xml:space="preserve">OPC UA joue déjà un rôle central dans la partie IT des systèmes de fabrication modernes. "Avec TSN et le mécanisme Publish/Subscribe, le champ d'applications d'OPC UA va nettement s'étendre," annonce S. Schönegger. L'utilisation conjointe des standards ouverts OPC UA, POWERLINK et openSAFETY permettra une communication sûre et uniforme "tout Ethernet" à tous les niveaux, depuis le système d'information jusqu'au capteur. </w:t>
      </w:r>
    </w:p>
    <w:p/>
    <w:bookmarkStart w:id="8" w:name="_XREFN1009B"/>
    <w:bookmarkStart w:id="9" w:name="_XREFN100B9"/>
    <w:p>
      <w:pPr>
        <w:keepNext/>
        <w:spacing w:after="20" w:before="0"/>
        <w:ind w:left="0"/>
      </w:pPr>
      <w:r>
        <w:drawing>
          <wp:inline xmlns:wp="http://schemas.openxmlformats.org/drawingml/2006/wordprocessingDrawing" distB="0" distL="0" distR="0" distT="0">
            <wp:extent cx="3600000" cy="2401172"/>
            <wp:effectExtent b="0" l="0" r="0" t="0"/>
            <wp:docPr id="1" name="OPC UA real time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real time TSN"/>
                    <pic:cNvPicPr/>
                  </pic:nvPicPr>
                  <pic:blipFill>
                    <a:blip xmlns:r="http://schemas.openxmlformats.org/officeDocument/2006/relationships" cstate="print" r:embed="N103E4"/>
                    <a:stretch>
                      <a:fillRect/>
                    </a:stretch>
                  </pic:blipFill>
                  <pic:spPr>
                    <a:xfrm>
                      <a:off x="0" y="0"/>
                      <a:ext cx="3600000" cy="2401172"/>
                    </a:xfrm>
                    <a:prstGeom prst="rect">
                      <a:avLst/>
                    </a:prstGeom>
                  </pic:spPr>
                </pic:pic>
              </a:graphicData>
            </a:graphic>
          </wp:inline>
        </w:drawing>
      </w:r>
    </w:p>
    <w:p>
      <w:pPr>
        <w:pStyle w:val="media-caption"/>
        <w:ind w:left="0"/>
      </w:pPr>
      <w:r>
        <w:t xml:space="preserve">La Fondation OPC prévoit de doter le protocole OPC UA de capacités temps réel.</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