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Приглашаем посетить наш стенд на выставке MIOGE 2015</w:t>
      </w:r>
    </w:p>
    <w:p>
      <w:pPr>
        <w:pStyle w:val="label-first"/>
        <w:keepNext/>
        <w:ind w:left="0"/>
      </w:pPr>
    </w:p>
    <w:p>
      <w:pPr>
        <w:pStyle w:val="label"/>
        <w:keepNext/>
        <w:ind w:left="0"/>
      </w:pPr>
      <w:r>
        <w:rPr>
          <w:b/>
          <w:sz w:val="20"/>
        </w:rPr>
        <w:t xml:space="preserve">Выставка MIOGE 2015 в Экспоцентре на Красной Пресне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Ждем Вас на нашем стенде в павильоне 2, зал 3, стенд D421</w:t>
      </w:r>
    </w:p>
    <w:p>
      <w:pPr>
        <w:pStyle w:val="par"/>
        <w:ind w:left="0"/>
      </w:pPr>
      <w:r>
        <w:rPr/>
        <w:t xml:space="preserve">На нашем стенде Вы сможете ознакомиться с новинками продукции компании B&amp;R:</w:t>
      </w:r>
    </w:p>
    <w:p>
      <w:pPr>
        <w:pStyle w:val="par"/>
        <w:ind w:left="0"/>
      </w:pPr>
      <w:r>
        <w:rPr/>
        <w:t xml:space="preserve">Система распределенного управления технологическими процессами APROL</w:t>
      </w:r>
    </w:p>
    <w:p>
      <w:pPr>
        <w:pStyle w:val="par"/>
        <w:ind w:left="0"/>
      </w:pPr>
      <w:r>
        <w:rPr/>
        <w:t xml:space="preserve">Готовые решения от B&amp;R -</w:t>
        <w:softHyphen/>
        <w:t xml:space="preserve"> Мониторинг состояния технологического оборудования и учет энергоресурсов</w:t>
        <w:softHyphen/>
      </w:r>
    </w:p>
    <w:p>
      <w:pPr>
        <w:pStyle w:val="par"/>
        <w:ind w:left="0"/>
      </w:pPr>
      <w:r>
        <w:rPr/>
        <w:t xml:space="preserve">Локальные системы управления нефтегазовым оборудованием, включая системы ПАЗ</w:t>
      </w:r>
    </w:p>
    <w:p>
      <w:pPr>
        <w:pStyle w:val="par"/>
        <w:ind w:left="0"/>
      </w:pPr>
      <w:r>
        <w:rPr/>
        <w:t xml:space="preserve">Новые бюджетные линейки продукции </w:t>
        <w:softHyphen/>
        <w:t xml:space="preserve">- ПЛК, промышленные ПК и панели оператора</w:t>
        <w:softHyphen/>
      </w:r>
    </w:p>
    <w:p>
      <w:pPr>
        <w:pStyle w:val="par"/>
        <w:ind w:left="0"/>
      </w:pPr>
      <w:r>
        <w:rPr/>
        <w:t xml:space="preserve">Богатейший опыт разработки и внедрения решений, облегчающими труд работников нефтегазовой отрасли, позволяет компании B&amp;R занимать лидирующие позиции на рынке систем автоматизации добычи, транспортировки и переработки нефти и газа. Пригласительный билет на выставку Вы можете получить, пройдя простую процедуру регистрации на </w:t>
      </w:r>
      <w:r>
        <w:rPr/>
        <w:fldChar w:fldCharType="begin"/>
      </w:r>
      <w:r>
        <w:rPr/>
        <w:instrText xml:space="preserve">HYPERLINK "http://www.mioge.ru/ru-RU/general/registration/mioge_2015.aspx"</w:instrText>
      </w:r>
      <w:r>
        <w:fldChar w:fldCharType="separate"/>
      </w:r>
      <w:r>
        <w:rPr/>
        <w:t>сайте выставки</w:t>
      </w:r>
      <w:r>
        <w:fldChar w:fldCharType="end"/>
      </w:r>
      <w:r>
        <w:rPr/>
        <w:t xml:space="preserve">.</w:t>
      </w:r>
    </w:p>
    <w:p>
      <w:pPr>
        <w:pStyle w:val="par"/>
        <w:ind w:left="0"/>
      </w:pPr>
      <w:r>
        <w:rPr>
          <w:b/>
        </w:rPr>
        <w:t xml:space="preserve">Так же на нашем стенде Вы сможете ознакомиться с техническими решениями наших партнеров </w:t>
        <w:softHyphen/>
        <w:t xml:space="preserve"> компании EPLAN.</w:t>
        <w:softHyphen/>
      </w:r>
    </w:p>
    <w:p>
      <w:pPr>
        <w:pStyle w:val="par"/>
        <w:ind w:left="0"/>
      </w:pPr>
      <w:r>
        <w:rPr/>
        <w:t xml:space="preserve">Компания EPLAN, являясь дочерним предприятием Rittal, более 30</w:t>
        <w:softHyphen/>
        <w:t xml:space="preserve">ти лет разрабатывает решения для проектирования. Чтобы узнать больше о возможностях использования оборудования компании B&amp;R и других 76</w:t>
        <w:softHyphen/>
        <w:t xml:space="preserve"> ти производителей, размещённых на Data Portal, – посетите стенд EPLAN № D101 в дни выставки «Нефть и Газ 2015».</w:t>
        <w:softHyphen/>
      </w:r>
    </w:p>
    <w:p>
      <w:pPr>
        <w:pStyle w:val="par"/>
        <w:ind w:left="0"/>
      </w:pPr>
      <w:r>
        <w:rPr>
          <w:b/>
        </w:rPr>
        <w:t xml:space="preserve">Канал передачи данных между Automation Studio и EPLAN Electric P8</w:t>
      </w:r>
    </w:p>
    <w:p>
      <w:pPr>
        <w:pStyle w:val="par"/>
        <w:ind w:left="0"/>
      </w:pPr>
      <w:r>
        <w:rPr/>
        <w:t xml:space="preserve">В Automation Studio 4 появилась возможность обмена данными между EPLAN Electric P8 и Automation Studio. Используя этот интерфейс, технические данные, такие как переменные процесса, аппаратные топологии и т.д. можно постоянно синхронизировать между этими инженерными системами. Синхронизация данных может происходить в любое время, что позволяет проектировщикам электротехники и разработчикам ПО для ПЛК не зависить друг от друга по времени в целом. Это обеспечивает оптимальное время разработки системы.</w:t>
      </w:r>
    </w:p>
    <w:p>
      <w:pPr>
        <w:pStyle w:val="par"/>
        <w:ind w:left="0"/>
      </w:pPr>
      <w:r>
        <w:rPr>
          <w:b/>
        </w:rPr>
        <w:t xml:space="preserve">Библиотеки инженерных данных</w:t>
      </w:r>
    </w:p>
    <w:p>
      <w:pPr>
        <w:pStyle w:val="par"/>
        <w:ind w:left="0"/>
      </w:pPr>
      <w:r>
        <w:rPr/>
        <w:t xml:space="preserve">Еще одним важным аспектом сотруднияества является разработка обширной библиотеки компонентов для изделий B&amp;R. Эта библиотека включает в себя более 1000 описание аппаратной части, пакеты ПО и данные CAD (макросы) для текущих линеек продуктов, которые могут быть использованы в проектах EPLAN Electric P8. Использование файлов описания дополнительно улучшает обмен данными и делает взаимодействие двух инструментов разработки еще более эффективным.</w:t>
      </w:r>
    </w:p>
    <w:p/>
    <w:bookmarkStart w:id="15" w:name="_XREFN1009B"/>
    <w:bookmarkStart w:id="16" w:name="_XREFN100A0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1600200" cy="2159000"/>
            <wp:effectExtent b="0" l="0" r="0" t="0"/>
            <wp:docPr id="1" name="edf7b640-1478-4482-bd6b-dd9129f5cd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f7b640-1478-4482-bd6b-dd9129f5cdee"/>
                    <pic:cNvPicPr/>
                  </pic:nvPicPr>
                  <pic:blipFill>
                    <a:blip xmlns:r="http://schemas.openxmlformats.org/officeDocument/2006/relationships" cstate="print" r:embed="N10452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6"/>
    <w:bookmarkEnd w:id="1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C9" w:type="default"/>
      <w:footerReference xmlns:r="http://schemas.openxmlformats.org/officeDocument/2006/relationships" r:id="N1055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C9" Target="header1.xml" Type="http://schemas.openxmlformats.org/officeDocument/2006/relationships/header"/><Relationship Id="N1055D" Target="footer1.xml" Type="http://schemas.openxmlformats.org/officeDocument/2006/relationships/footer"/><Relationship Id="N10452" Target="media/N1045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30" Target="media/N1053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