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Přesné měření mechanického napětí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moduly X20 pro tenzometrické snímače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představuje 2 nové analogové vstupní moduly řady X20 I/O, pomocí kterých se digitalizují signály tenzometrických snímačů: X20AIA744 se 2 vstupy DMS s úplným můstkem a X20AIB744 se 4 vstupy DMS s úplným můstkem.  Díky tomu lze umístit až 4 kanály DMS v jednom modulu, který je stejně úzký jako jednokanálový modul DMS.  Uživatel tak může ušetřit místo ve skříňovém rozváděči a snížit náklady.</w:t>
      </w:r>
    </w:p>
    <w:p>
      <w:pPr>
        <w:pStyle w:val="par"/>
        <w:ind w:left="0"/>
      </w:pPr>
      <w:r>
        <w:rPr/>
        <w:t xml:space="preserve">X20AIA744 a X20AIB744 pracují se čtyřvodičovými články DMS. Kompenzace v měřicím systému eliminuje absolutní nepřesnosti v měřicím obvodu, jako jsou tolerance součástí, efektivní můstkové napětí nebo posun nulového bodu. Každý modul má 24-bitové rozlišení měniče.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X20 strain gau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strain gauges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Pomocí nových modulů X20 lze digitalizovat signály tenzometrických snímačů.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