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Sécurité totale en cas de défaillance réseau</w:t>
      </w:r>
    </w:p>
    <w:p>
      <w:pPr>
        <w:pStyle w:val="label-first"/>
        <w:keepNext/>
        <w:ind w:left="0"/>
      </w:pPr>
      <w:r>
        <w:rPr>
          <w:b/>
          <w:sz w:val="20"/>
        </w:rPr>
        <w:t xml:space="preserve">Le mode blackout rend les solutions de redondance redondantes</w:t>
      </w:r>
    </w:p>
    <w:p>
      <w:pPr>
        <w:pStyle w:val="par-first"/>
        <w:ind w:left="0"/>
        <w:jc w:val="left"/>
      </w:pPr>
      <w:r>
        <w:rPr>
          <w:i/>
          <w:i/>
        </w:rPr>
        <w:t xml:space="preserve">B&amp;R pose un nouveau jalon dans le domaine de la sécurité intégrée avec le mode blackout. Dans ce mode de fonctionnement, les applications de sécurité continuent de s'exécuter après une défaillance du réseau ou de l'automate principal. Il n'est ainsi plus nécessaire de disposer d'une solution de redondance onéreuse pour garantir la haute disponibilité de l'application de sécurité. </w:t>
      </w:r>
    </w:p>
    <w:p>
      <w:pPr>
        <w:pStyle w:val="par"/>
        <w:ind w:left="0"/>
      </w:pPr>
      <w:r>
        <w:rPr/>
        <w:t xml:space="preserve">Le mode blackout est supporté par les nouveaux automates de sécurité SafeLOGIC X20SL8101 et par les modules d'E/S SafeIO dotés de la technologie reACTION. Avec le mode Blackout, les applications des systèmes de niveau inférieur continuent de s'exécuter après une défaillance réseau. Il est ainsi possible, par exemple, d'ouvrir une presse après une défaillance réseau pour prévenir d'éventuels dommages ou blessures.</w:t>
      </w:r>
    </w:p>
    <w:p>
      <w:pPr>
        <w:pStyle w:val="par"/>
        <w:ind w:left="0"/>
      </w:pPr>
      <w:r>
        <w:rPr/>
        <w:t xml:space="preserve">Le mode blackout permet aussi aux applications de démarrer à la mise sous tension et aux fonctions de sécurité de s'exécuter, peu importe si une connexion réseau existe ou pas.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750"/>
            <wp:effectExtent b="0" l="0" r="0" t="0"/>
            <wp:docPr id="1" name="Safety Blackout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 Blackout mode"/>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Avec le mode Blackout, les applications des systèmes de niveau inférieur continuent de s'exécuter après une défaillance réseau.</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