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Funcionalidade de segurança completa após falha de rede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modo Blackout torna as soluções de redundância redundantes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estabeleceu ainda mais uma referência na tecnologia de segurança integrada com seu novo modo de blackout. Esse recurso permite que os aplicativos de segurança continuem a ser executados após uma falha da rede ou do controlador principal. Já não é necessária uma solução de redundância cara para garantir a máxima disponibilidade do aplicativo de segurança. </w:t>
      </w:r>
    </w:p>
    <w:p>
      <w:pPr>
        <w:pStyle w:val="par"/>
        <w:ind w:left="0"/>
      </w:pPr>
      <w:r>
        <w:rPr/>
        <w:t xml:space="preserve">O modo Blackout é suportado pelos novos controladores de segurança SafeLOGIC X20SL8101 e módulos SafeIO com tecnologia reACTION. Com o modo blackout, as aplicações em sistemas de nível inferior são executadas mesmo após uma falha de rede. Por exemplo, mesmo depois de uma falha de rede, ainda é possível abrir uma prensa para evitar lesões ou danos.</w:t>
      </w:r>
    </w:p>
    <w:p>
      <w:pPr>
        <w:pStyle w:val="par"/>
        <w:ind w:left="0"/>
      </w:pPr>
      <w:r>
        <w:rPr/>
        <w:t xml:space="preserve">O modo Blackout também permite que as aplicações sejam iniciadas depois que a energia é ligada e as funções de segurança a serem executadas independentemente de existir uma conexão de rede.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afety Blackout m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 Blackout mod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o modo blackout, as aplicações em sistemas de nível inferior são executadas mesmo após uma falha de rede.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