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网络故障的安全保障功能</w:t>
      </w:r>
    </w:p>
    <w:p>
      <w:pPr>
        <w:pStyle w:val="label-first"/>
        <w:keepNext/>
        <w:ind w:left="0"/>
      </w:pPr>
      <w:r>
        <w:rPr>
          <w:b/>
          <w:sz w:val="20"/>
        </w:rPr>
        <w:t xml:space="preserve">停电模式使冗余解决方案成为冗余</w:t>
      </w:r>
    </w:p>
    <w:p>
      <w:pPr>
        <w:pStyle w:val="par-first"/>
        <w:ind w:left="0"/>
        <w:jc w:val="left"/>
      </w:pPr>
      <w:r>
        <w:rPr>
          <w:i/>
          <w:i/>
        </w:rPr>
        <w:t xml:space="preserve">在集成安全技术方面，贝加莱新的停电模式成为了行业的标杆。此功能允许安全应用程序在网络或主控故障后继续运行。无需昂贵的冗余解决方案来确保安全应用程序的最大可用性。</w:t>
      </w:r>
    </w:p>
    <w:p>
      <w:pPr>
        <w:pStyle w:val="par"/>
        <w:ind w:left="0"/>
      </w:pPr>
      <w:r>
        <w:rPr/>
        <w:t xml:space="preserve">停电模式由新的SafeLOGIC X20SL8101安全控制器和带有reACTION 技术的SafeIO（安全IO）模块支持。在停电模式下，即使网络出现故障，在较低级别的系统也能保证安全的运行应用程序。例如，即使在网络故障后，印刷机依然在开动状态，以防止损伤或损坏。.</w:t>
      </w:r>
    </w:p>
    <w:p>
      <w:pPr>
        <w:pStyle w:val="par"/>
        <w:ind w:left="0"/>
      </w:pPr>
      <w:r>
        <w:rPr/>
        <w:t xml:space="preserve">停电模式还允许在电源接通后启动应用程序和执行安全功能，而不管网络连接是否存在。</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Safety Blackout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 Blackout mode"/>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在停电模式下，即使网络出现故障，在较低级别的系统也能保证安全的运行应用程序。</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