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CIROS展贝加莱展台亮点提前曝光啦！</w:t>
      </w:r>
    </w:p>
    <w:p>
      <w:pPr>
        <w:pStyle w:val="label-first"/>
        <w:keepNext/>
        <w:ind w:left="0"/>
      </w:pPr>
    </w:p>
    <w:p>
      <w:pPr>
        <w:pStyle w:val="par-first"/>
        <w:ind w:left="0"/>
        <w:jc w:val="left"/>
      </w:pPr>
      <w:r>
        <w:rPr>
          <w:i/>
          <w:i/>
        </w:rPr>
        <w:t xml:space="preserve">作为机器人控制技术领导者，贝加莱最为擅长的是整体方案集成能力，包括硬件、软件及行业知识库的集成，此次CIROS，贝加莱带给业界亮丽的前瞻技术与方案，5.1馆靓丽的橙色期待您的光临。</w:t>
      </w:r>
    </w:p>
    <w:p>
      <w:pPr>
        <w:pStyle w:val="label"/>
        <w:keepNext/>
        <w:ind w:left="0"/>
      </w:pPr>
      <w:r>
        <w:rPr>
          <w:b/>
          <w:sz w:val="20"/>
        </w:rPr>
        <w:t xml:space="preserve">ACOPOS P3-降低69%电柜空间</w:t>
      </w:r>
    </w:p>
    <w:p>
      <w:pPr>
        <w:pStyle w:val="par"/>
        <w:ind w:left="0"/>
      </w:pPr>
      <w:r>
        <w:rPr/>
        <w:t xml:space="preserve">这几乎是一种为机器人量身定做的产品，非常适合于空间紧凑、动态响应高、成本降低的机器人行业。</w:t>
      </w:r>
    </w:p>
    <w:p>
      <w:pPr>
        <w:pStyle w:val="par"/>
        <w:ind w:left="0"/>
      </w:pPr>
      <w:r>
        <w:rPr/>
        <w:t xml:space="preserve">亮点</w:t>
      </w:r>
    </w:p>
    <w:p>
      <w:pPr>
        <w:pStyle w:val="par"/>
        <w:ind w:left="0"/>
      </w:pPr>
      <w:r>
        <w:rPr/>
        <w:t xml:space="preserve">■50μS位置环控制-极高响应速度； </w:t>
      </w:r>
    </w:p>
    <w:p>
      <w:pPr>
        <w:pStyle w:val="par"/>
        <w:ind w:left="0"/>
      </w:pPr>
      <w:r>
        <w:rPr/>
        <w:t xml:space="preserve">■驱动三个电机，更为节省电柜空间； </w:t>
      </w:r>
    </w:p>
    <w:p>
      <w:pPr>
        <w:pStyle w:val="par"/>
        <w:ind w:left="0"/>
      </w:pPr>
      <w:r>
        <w:rPr/>
        <w:t xml:space="preserve">■高功率密度； </w:t>
      </w:r>
    </w:p>
    <w:p>
      <w:pPr>
        <w:pStyle w:val="par"/>
        <w:ind w:left="0"/>
      </w:pPr>
      <w:r>
        <w:rPr/>
        <w:t xml:space="preserve">■SafeROBOTICS功能支持（STO、SLS、SLP、SDI…） </w:t>
      </w:r>
    </w:p>
    <w:p>
      <w:pPr>
        <w:pStyle w:val="label"/>
        <w:keepNext/>
        <w:ind w:left="0"/>
      </w:pPr>
      <w:r>
        <w:rPr>
          <w:b/>
          <w:sz w:val="20"/>
        </w:rPr>
        <w:t xml:space="preserve">SafeROBOTICS赢得未来</w:t>
      </w:r>
    </w:p>
    <w:p>
      <w:pPr>
        <w:pStyle w:val="par"/>
        <w:ind w:left="0"/>
      </w:pPr>
      <w:r>
        <w:rPr/>
        <w:t xml:space="preserve">贝加莱早在2010年即推出SafeROBOTICS-机器人工具中心点安全速度限制功能SLS@TCP，并新增SLP和SLO等用于机器人安全的功能，并与其它安全运动控制（STO、SS1、SLA…）构成整线安全集成能力。</w:t>
      </w:r>
    </w:p>
    <w:p>
      <w:pPr>
        <w:pStyle w:val="par"/>
        <w:ind w:left="0"/>
      </w:pPr>
      <w:r>
        <w:rPr/>
        <w:t xml:space="preserve">亮点 	</w:t>
      </w:r>
    </w:p>
    <w:p>
      <w:pPr>
        <w:pStyle w:val="par"/>
        <w:ind w:left="0"/>
      </w:pPr>
      <w:r>
        <w:rPr/>
        <w:t xml:space="preserve">■满足EN ISO 10218标准； </w:t>
      </w:r>
    </w:p>
    <w:p>
      <w:pPr>
        <w:pStyle w:val="par"/>
        <w:ind w:left="0"/>
      </w:pPr>
      <w:r>
        <w:rPr/>
        <w:t xml:space="preserve">■	SIL3,PL e等级； 	</w:t>
      </w:r>
    </w:p>
    <w:p>
      <w:pPr>
        <w:pStyle w:val="par"/>
        <w:ind w:left="0"/>
      </w:pPr>
      <w:r>
        <w:rPr/>
        <w:t xml:space="preserve">■新增SLP（安全位置限制）、SLO（安全方向限制）功能； </w:t>
      </w:r>
    </w:p>
    <w:p>
      <w:pPr>
        <w:pStyle w:val="par"/>
        <w:ind w:left="0"/>
      </w:pPr>
      <w:r>
        <w:rPr/>
        <w:t xml:space="preserve">■支持与SafeMOTION、LOGIC的集成安全 </w:t>
      </w:r>
    </w:p>
    <w:p>
      <w:pPr>
        <w:pStyle w:val="par"/>
        <w:ind w:left="0"/>
      </w:pPr>
      <w:r>
        <w:rPr/>
        <w:t xml:space="preserve">openSAFETY满足以下几个未来智慧工厂需求 	</w:t>
      </w:r>
    </w:p>
    <w:p>
      <w:pPr>
        <w:pStyle w:val="par"/>
        <w:ind w:left="0"/>
      </w:pPr>
      <w:r>
        <w:rPr/>
        <w:t xml:space="preserve">■独立于总线的安全技术； 	</w:t>
      </w:r>
    </w:p>
    <w:p>
      <w:pPr>
        <w:pStyle w:val="par"/>
        <w:ind w:left="0"/>
      </w:pPr>
      <w:r>
        <w:rPr/>
        <w:t xml:space="preserve">■支持不同机器人、机器的协同安全； 	</w:t>
      </w:r>
    </w:p>
    <w:p>
      <w:pPr>
        <w:pStyle w:val="par"/>
        <w:ind w:left="0"/>
      </w:pPr>
      <w:r>
        <w:rPr/>
        <w:t xml:space="preserve">■开源技术； 	</w:t>
      </w:r>
    </w:p>
    <w:p>
      <w:pPr>
        <w:pStyle w:val="par"/>
        <w:ind w:left="0"/>
      </w:pPr>
      <w:r>
        <w:rPr/>
        <w:t xml:space="preserve">■满足Industry 4.0描绘的全局安全需求； </w:t>
      </w:r>
    </w:p>
    <w:p>
      <w:pPr>
        <w:pStyle w:val="label"/>
        <w:keepNext/>
        <w:ind w:left="0"/>
      </w:pPr>
      <w:r>
        <w:rPr>
          <w:b/>
          <w:sz w:val="20"/>
        </w:rPr>
        <w:t xml:space="preserve">行业应用集成方案-MAP Robotics</w:t>
      </w:r>
    </w:p>
    <w:p>
      <w:pPr>
        <w:pStyle w:val="par"/>
        <w:ind w:left="0"/>
      </w:pPr>
      <w:r>
        <w:rPr/>
        <w:t xml:space="preserve">Automation Studio集成开发环境使得机器人与应用可以被无缝链接，基于MAP Robotics的解决方案使得机器人运动学库和应用被纳入同一架构下，为机器人集成提供了完美平台。</w:t>
      </w:r>
    </w:p>
    <w:p>
      <w:pPr>
        <w:pStyle w:val="par"/>
        <w:ind w:left="0"/>
      </w:pPr>
      <w:r>
        <w:rPr/>
        <w:t xml:space="preserve">MAPP的机器人应用特点 </w:t>
      </w:r>
    </w:p>
    <w:p>
      <w:pPr>
        <w:pStyle w:val="par"/>
        <w:ind w:left="0"/>
      </w:pPr>
      <w:r>
        <w:rPr/>
        <w:t xml:space="preserve">■标准机器人运动学库（关节,SCARA,Delta,码垛..）； </w:t>
      </w:r>
    </w:p>
    <w:p>
      <w:pPr>
        <w:pStyle w:val="par"/>
        <w:ind w:left="0"/>
      </w:pPr>
      <w:r>
        <w:rPr/>
        <w:t xml:space="preserve">■标准应用接口（诊断,仿真,监控,维护…）； </w:t>
      </w:r>
    </w:p>
    <w:p>
      <w:pPr>
        <w:pStyle w:val="par"/>
        <w:ind w:left="0"/>
      </w:pPr>
      <w:r>
        <w:rPr/>
        <w:t xml:space="preserve">■基于PLCopen标准； </w:t>
      </w:r>
    </w:p>
    <w:p>
      <w:pPr>
        <w:pStyle w:val="par"/>
        <w:ind w:left="0"/>
      </w:pPr>
      <w:r>
        <w:rPr/>
        <w:t xml:space="preserve">■降低67%的开发成本； </w:t>
      </w:r>
    </w:p>
    <w:p>
      <w:pPr>
        <w:pStyle w:val="par"/>
        <w:ind w:left="0"/>
      </w:pPr>
      <w:r>
        <w:rPr/>
        <w:t xml:space="preserve">欢迎光临贝加莱展台-5.1馆 C019展台，共同探讨未来技术发展与合作！</w:t>
      </w:r>
    </w:p>
    <w:p/>
    <w:bookmarkStart w:id="27" w:name="_XREFN1009B"/>
    <w:bookmarkStart w:id="28" w:name="_XREFN100A0"/>
    <w:p>
      <w:pPr>
        <w:spacing w:after="200" w:before="0"/>
        <w:ind w:left="0"/>
      </w:pPr>
      <w:r>
        <w:drawing>
          <wp:inline xmlns:wp="http://schemas.openxmlformats.org/drawingml/2006/wordprocessingDrawing" distB="0" distL="0" distR="0" distT="0">
            <wp:extent cx="3600000" cy="2157717"/>
            <wp:effectExtent b="0" l="0" r="0" t="0"/>
            <wp:docPr id="1" name="A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C"/>
                    <pic:cNvPicPr/>
                  </pic:nvPicPr>
                  <pic:blipFill>
                    <a:blip xmlns:r="http://schemas.openxmlformats.org/officeDocument/2006/relationships" cstate="print" r:embed="N104F6"/>
                    <a:stretch>
                      <a:fillRect/>
                    </a:stretch>
                  </pic:blipFill>
                  <pic:spPr>
                    <a:xfrm>
                      <a:off x="0" y="0"/>
                      <a:ext cx="3600000" cy="2157717"/>
                    </a:xfrm>
                    <a:prstGeom prst="rect">
                      <a:avLst/>
                    </a:prstGeom>
                  </pic:spPr>
                </pic:pic>
              </a:graphicData>
            </a:graphic>
          </wp:inline>
        </w:drawing>
      </w:r>
    </w:p>
    <w:bookmarkEnd w:id="28"/>
    <w:bookmarkEnd w:id="27"/>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56D" w:type="default"/>
      <w:footerReference xmlns:r="http://schemas.openxmlformats.org/officeDocument/2006/relationships" r:id="N1060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D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6D" Target="header1.xml" Type="http://schemas.openxmlformats.org/officeDocument/2006/relationships/header"/><Relationship Id="N10601" Target="footer1.xml" Type="http://schemas.openxmlformats.org/officeDocument/2006/relationships/footer"/><Relationship Id="N104F6" Target="media/N104F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D4" Target="media/N105D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