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Default ContentType="image/jpeg" Extension="jpg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wordprocessingml.header+xml" PartName="/word/header1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</Types>
</file>

<file path=_rels/.rels><?xml version="1.0" encoding="UTF-8"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pStyle w:val="headline-content-0"/>
        <w:keepNext/>
      </w:pPr>
      <w:r>
        <w:rPr>
          <w:rStyle w:val="headline-content-run0"/>
          <w:b/>
          <w:sz w:val="24"/>
        </w:rPr>
        <w:t xml:space="preserve">Technologia Web wychodzi naprzeciw automatyce przemysłowej</w:t>
      </w:r>
    </w:p>
    <w:p>
      <w:pPr>
        <w:pStyle w:val="label-first"/>
        <w:keepNext/>
        <w:ind w:left="0"/>
      </w:pPr>
      <w:r>
        <w:rPr>
          <w:b/>
          <w:sz w:val="20"/>
        </w:rPr>
        <w:t xml:space="preserve">B&amp;R przedstawia rozwiązanie mapp View HMI na targach SPS/IPC/Drives</w:t>
      </w:r>
    </w:p>
    <w:p>
      <w:pPr>
        <w:pStyle w:val="par-first"/>
        <w:ind w:left="0"/>
        <w:jc w:val="left"/>
      </w:pPr>
      <w:r>
        <w:rPr>
          <w:i/>
          <w:i/>
        </w:rPr>
        <w:t xml:space="preserve">Firma B&amp;R na targach SPS/IPC/Drives zaprezentuje swoje nowe rozwiązanie HMI – mapp View. Będzie to pierwsza prezentacja pełnego potencjału technologii web w środowisku narzędzia programistycznego Automation Studio. Inne ciekawe i nowatorskie rozwiązania przedstawiane na stoisku B&amp;R (hala 7 / stoisko 206) to między innymi nowa generacja pulpitów operatorskich na wysięgnikach, a także innowacyjne rozwiązania bezpieczeństwa, wykorzystujące inteligentne siatki świetlne. (intelligent light grids).</w:t>
      </w:r>
    </w:p>
    <w:p>
      <w:pPr>
        <w:pStyle w:val="par"/>
        <w:ind w:left="0"/>
      </w:pPr>
      <w:r>
        <w:rPr/>
        <w:t xml:space="preserve">Dzięki mapp View B&amp;R otwiera bogactwo nowych możliwości w projektowaniu aplikacji HMI. Inżynier otrzymuje wszystkie narzędzia, jakich potrzebuje, aby stworzyć wydajne i intuicyjne w obsłudze rozwiązania HMI oparte na sieci – bez wymagania znajomości HTML5, CSS lub JavaScript.</w:t>
      </w:r>
    </w:p>
    <w:p>
      <w:pPr>
        <w:pStyle w:val="label"/>
        <w:keepNext/>
        <w:ind w:left="0"/>
      </w:pPr>
      <w:r>
        <w:rPr>
          <w:b/>
          <w:sz w:val="20"/>
        </w:rPr>
        <w:t xml:space="preserve">Przygotowany do każdej aplikacji</w:t>
      </w:r>
    </w:p>
    <w:p>
      <w:pPr>
        <w:pStyle w:val="par"/>
        <w:ind w:left="0"/>
      </w:pPr>
      <w:r>
        <w:rPr/>
        <w:t xml:space="preserve">Automation Panel 500 reprezentuje nową generację wyświetlaczy na wysięgniku i stawia poważne wyzwanie konkurencji w zakresie elastyczności i modułowej konstrukcji. Te w pełni zamknięte układy charakteryzują się stopniem ochrony IP65 i są dostępne w wielu różnych wariantach.</w:t>
      </w:r>
    </w:p>
    <w:p>
      <w:pPr>
        <w:pStyle w:val="label"/>
        <w:keepNext/>
        <w:ind w:left="0"/>
      </w:pPr>
      <w:r>
        <w:rPr>
          <w:b/>
          <w:sz w:val="20"/>
        </w:rPr>
        <w:t xml:space="preserve">Bezpieczne zdalne utrzymanie</w:t>
      </w:r>
    </w:p>
    <w:p>
      <w:pPr>
        <w:pStyle w:val="par"/>
        <w:ind w:left="0"/>
      </w:pPr>
      <w:r>
        <w:rPr/>
        <w:t xml:space="preserve">Ultrakompaktowe sterowniki X20, bezpieczna technologia zdalnego utrzymania i nowe terminale operatorskie wraz z wielodotykowym interfejsem użytkownika to tylko kilka dodatkowych rozwiązań wartych poznania na stoisku firmy. Ponadto, B&amp;R będzie wprowadzać i przedstawiać zupełnie nowe koncepcje bezpieczeństwa oparte na zintegrowanej z siecią siatce świetlnej.</w:t>
      </w:r>
    </w:p>
    <w:p/>
    <w:bookmarkStart w:id="6" w:name="_XREFN1009B"/>
    <w:bookmarkStart w:id="7" w:name="_XREFN100A0"/>
    <w:p>
      <w:pPr>
        <w:keepNext/>
        <w:spacing w:after="20" w:before="0"/>
        <w:ind w:left="0"/>
      </w:pPr>
      <w:r>
        <w:drawing>
          <wp:inline xmlns:wp="http://schemas.openxmlformats.org/drawingml/2006/wordprocessingDrawing" distB="0" distL="0" distR="0" distT="0">
            <wp:extent cx="3600000" cy="2702439"/>
            <wp:effectExtent b="0" l="0" r="0" t="0"/>
            <wp:docPr id="1" name="br_sm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r_smart"/>
                    <pic:cNvPicPr/>
                  </pic:nvPicPr>
                  <pic:blipFill>
                    <a:blip xmlns:r="http://schemas.openxmlformats.org/officeDocument/2006/relationships" cstate="print" r:embed="N103B0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702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media-caption"/>
        <w:ind w:left="0"/>
      </w:pPr>
      <w:r>
        <w:t xml:space="preserve">Nowe rozwiązanie mapp View HMI jest tylko jedną z wielu innowacji prezentowanych przez B&amp;R na targach SPS/IPC/Drives.</w:t>
      </w:r>
    </w:p>
    <w:bookmarkEnd w:id="7"/>
    <w:bookmarkEnd w:id="6"/>
    <w:p/>
    <w:p/>
    <w:p/>
    <w:p>
      <w:pPr>
        <w:pStyle w:val="headline-content-1"/>
        <w:keepNext/>
      </w:pPr>
      <w:r>
        <w:rPr>
          <w:rStyle w:val="headline-content-run1"/>
          <w:sz w:val="16"/>
        </w:rPr>
        <w:t xml:space="preserve">O firmie B&amp;R</w:t>
      </w:r>
    </w:p>
    <w:p>
      <w:pPr>
        <w:pStyle w:val="par"/>
        <w:ind w:left="0"/>
      </w:pPr>
      <w:r>
        <w:rPr>
          <w:sz w:val="16"/>
        </w:rPr>
        <w:t xml:space="preserve">B&amp;R to innowacyjna firma z branży automatyzacji z siedzibą w Austrii i przedstawicielstwami na całym świecie.  Od 6 lipca 2017 B&amp;R stała się jednostką biznesową Grupy ABB. Jako globalny lider w automatyce przemysłowej, B&amp;R łączy najnowocześniejsze technologie z kunsztem inżynieryjnym, oferując klientom z praktycznie każdej branży kompleksowe rozwiązania z zakresu automatyki maszyn i automatyki zakładowej, sterowania napędami, interfejsów HMI oraz zintegrowanej technologii bezpieczeństwa. Dzięki standardom komunikacji przemysłowej IoT, takim jak OPC UA, POWERLINK i openSAFETY, a także z wydajnym środowiskiem programistycznym Automation Studio, B&amp;R nieustannie przedefiniowuje przyszłość technologii automatyzacji. Duch innowacyjności, który prowadzi B&amp;R na szczyt przemysłowej automatyzacji, jest wzmacniany zamiłowaniem do upraszczania procesów i wyprzedzania oczekiwań klientów.</w:t>
      </w:r>
    </w:p>
    <w:p>
      <w:pPr>
        <w:pStyle w:val="par"/>
        <w:ind w:left="0"/>
      </w:pPr>
      <w:r>
        <w:rPr>
          <w:sz w:val="16"/>
        </w:rPr>
        <w:t xml:space="preserve">Aby uzyskać więcej informacji odwiedź stronę www.br-automation.com </w:t>
      </w:r>
    </w:p>
    <w:sectPr>
      <w:headerReference xmlns:r="http://schemas.openxmlformats.org/officeDocument/2006/relationships" r:id="N10431" w:type="default"/>
      <w:footerReference xmlns:r="http://schemas.openxmlformats.org/officeDocument/2006/relationships" r:id="N104C5" w:type="default"/>
      <w:type w:val="continuous"/>
      <w:pgSz w:code="9" w:h="16839" w:w="11907"/>
      <w:pgMar w:bottom="1984" w:footer="567" w:header="567" w:left="1134" w:right="1134" w:top="2268"/>
    </w:sectPr>
  </w:body>
</w:document>
</file>

<file path=word/footer1.xml><?xml version="1.0" encoding="utf-8"?>
<w:ftr xmlns:w="http://schemas.openxmlformats.org/wordprocessingml/2006/main">
  <w:tbl>
    <w:tblPr>
      <w:tblW w:type="dxa" w:w="9638"/>
      <w:tblInd w:type="dxa" w:w="0"/>
      <w:tblLayout w:type="fixed"/>
    </w:tblPr>
    <w:tblGrid>
      <w:gridCol w:w="4819"/>
      <w:gridCol w:w="4819"/>
    </w:tblGrid>
    <w:tr>
      <w:trPr>
        <w:trHeight w:hRule="exact" w:val="1417"/>
      </w:trPr>
      <w:tc>
        <w:tcPr>
          <w:tcW w:type="dxa" w:w="4819"/>
          <w:tcMar>
            <w:top w:type="dxa" w:w="226"/>
            <w:left w:type="dxa" w:w="0"/>
            <w:right w:type="dxa" w:w="0"/>
          </w:tcMar>
          <w:vAlign w:val="top"/>
        </w:tcPr>
        <w:p>
          <w:pPr>
            <w:pStyle w:val="footer"/>
            <w:ind w:left="0"/>
            <w:jc w:val="left"/>
          </w:pPr>
          <w:r>
            <w:rPr>
              <w:sz w:val="14"/>
            </w:rPr>
            <w:t>Press contact</w:t>
          </w:r>
          <w:r>
            <w:rPr>
              <w:sz w:val="14"/>
            </w:rPr>
            <w:t xml:space="preserve">:</w:t>
          </w:r>
          <w:r>
            <w:br w:type="textWrapping"/>
          </w:r>
          <w:r>
            <w:br w:type="textWrapping"/>
          </w:r>
          <w:r>
            <w:br w:type="textWrapping"/>
          </w:r>
          <w:r>
            <w:rPr>
              <w:sz w:val="14"/>
            </w:rPr>
            <w:t xml:space="preserve">press@br-automation.com</w:t>
          </w:r>
          <w:r>
            <w:br w:type="textWrapping"/>
          </w:r>
          <w:r>
            <w:br w:type="textWrapping"/>
          </w:r>
        </w:p>
      </w:tc>
      <w:tc>
        <w:tcPr>
          <w:tcW w:type="dxa" w:w="4819"/>
          <w:tcMar>
            <w:top w:type="dxa" w:w="226"/>
            <w:left w:type="dxa" w:w="0"/>
            <w:right w:type="dxa" w:w="0"/>
          </w:tcMar>
          <w:vAlign w:val="top"/>
        </w:tcPr>
        <w:p>
          <w:pPr>
            <w:pStyle w:val="footer"/>
            <w:spacing w:after="0"/>
            <w:ind w:left="0"/>
            <w:jc w:val="right"/>
          </w:pPr>
          <w:r>
            <w:br w:type="textWrapping"/>
          </w:r>
          <w:r>
            <w:rPr>
              <w:sz w:val="14"/>
            </w:rPr>
            <w:t>Strona</w:t>
          </w:r>
          <w:r>
            <w:rPr>
              <w:rFonts w:ascii="Arial" w:hAnsi="Arial"/>
            </w:rPr>
            <w:t> </w:t>
          </w:r>
          <w:r>
            <w:rPr>
              <w:b/>
              <w:sz w:val="14"/>
            </w:rPr>
            <w:fldChar w:fldCharType="begin"/>
            <w:instrText xml:space="preserve"> PAGE \* Arabic </w:instrText>
            <w:fldChar w:fldCharType="end"/>
          </w:r>
          <w:r>
            <w:rPr>
              <w:b/>
              <w:sz w:val="14"/>
            </w:rPr>
            <w:t xml:space="preserve">/</w:t>
          </w:r>
          <w:r>
            <w:rPr>
              <w:b/>
              <w:sz w:val="14"/>
            </w:rPr>
            <w:fldChar w:fldCharType="begin"/>
            <w:instrText xml:space="preserve"> NUMPAGES   \* MERGEFORMAT </w:instrText>
            <w:fldChar w:fldCharType="end"/>
          </w:r>
        </w:p>
      </w:tc>
    </w:tr>
  </w:tbl>
</w:ftr>
</file>

<file path=word/footnotes.xml><?xml version="1.0" encoding="utf-8"?>
<w:footnotes xmlns:w="http://schemas.openxmlformats.org/wordprocessingml/2006/main"/>
</file>

<file path=word/header1.xml><?xml version="1.0" encoding="utf-8"?>
<w:hdr xmlns:w="http://schemas.openxmlformats.org/wordprocessingml/2006/main">
  <w:tbl>
    <w:tblPr>
      <w:tblW w:type="dxa" w:w="9638"/>
      <w:tblInd w:type="dxa" w:w="0"/>
      <w:tblLayout w:type="fixed"/>
    </w:tblPr>
    <w:tblGrid>
      <w:gridCol w:w="5783"/>
      <w:gridCol w:w="3855"/>
    </w:tblGrid>
    <w:tr>
      <w:trPr/>
      <w:tc>
        <w:tcPr>
          <w:tcW w:type="dxa" w:w="5783"/>
          <w:shd w:fill="FFFFFF" w:val="clear"/>
          <w:tcMar>
            <w:top w:type="dxa" w:w="226"/>
            <w:left w:type="dxa" w:w="0"/>
            <w:bottom w:type="dxa" w:w="226"/>
            <w:right w:type="dxa" w:w="0"/>
          </w:tcMar>
          <w:vAlign w:val="bottom"/>
        </w:tcPr>
        <w:p>
          <w:pPr>
            <w:pStyle w:val="header"/>
            <w:spacing w:after="0"/>
            <w:ind w:left="0"/>
            <w:jc w:val="left"/>
          </w:pPr>
          <w:r>
            <w:rPr>
              <w:b/>
              <w:color w:val="000000"/>
              <w:sz w:val="32"/>
            </w:rPr>
            <w:t>Press release</w:t>
          </w:r>
        </w:p>
      </w:tc>
      <w:tc>
        <w:tcPr>
          <w:tcW w:type="dxa" w:w="3855"/>
          <w:shd w:fill="FFFFFF" w:val="clear"/>
          <w:tcMar>
            <w:top w:type="dxa" w:w="226"/>
            <w:left w:type="dxa" w:w="0"/>
            <w:bottom w:type="dxa" w:w="226"/>
            <w:right w:type="dxa" w:w="0"/>
          </w:tcMar>
          <w:vAlign w:val="bottom"/>
        </w:tcPr>
        <w:p>
          <w:pPr>
            <w:pStyle w:val="header-logo"/>
            <w:spacing w:after="0"/>
            <w:ind w:left="0"/>
            <w:jc w:val="right"/>
          </w:pPr>
          <w:r>
            <w:drawing>
              <wp:inline xmlns:wp="http://schemas.openxmlformats.org/drawingml/2006/wordprocessingDrawing" distB="0" distL="0" distR="0" distT="0">
                <wp:extent cx="1505712" cy="518160"/>
                <wp:effectExtent b="0" l="0" r="0" t="0"/>
                <wp:docPr id="2" name="logo 20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logo 2022"/>
                        <pic:cNvPicPr/>
                      </pic:nvPicPr>
                      <pic:blipFill>
                        <a:blip xmlns:r="http://schemas.openxmlformats.org/officeDocument/2006/relationships" cstate="print" r:embed="N1049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05712" cy="518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hdr>
</file>

<file path=word/numbering.xml><?xml version="1.0" encoding="utf-8"?>
<w:numbering xmlns:w="http://schemas.openxmlformats.org/wordprocessingml/2006/main">
  <w:abstractNum w:abstractNumId="2">
    <w:nsid w:val="0E6454FE"/>
    <w:multiLevelType w:val="multilevel"/>
    <w:tmpl w:val="D386552E"/>
    <w:lvl w:ilvl="0">
      <w:start w:val="1"/>
      <w:pStyle w:val="headline-content-1"/>
      <w:suff w:val="tab"/>
      <w:lvlText w:val="%1"/>
      <w:lvlJc w:val="left"/>
      <w:pPr>
        <w:tabs>
          <w:tab w:pos="1417.5" w:val="num"/>
        </w:tabs>
        <w:ind w:hanging="1417.5" w:left="1417.5"/>
      </w:pPr>
    </w:lvl>
    <w:lvl w:ilvl="1">
      <w:start w:val="1"/>
      <w:suff w:val="tab"/>
      <w:lvlText w:val="%1.%2"/>
      <w:lvlJc w:val="left"/>
      <w:pPr>
        <w:tabs>
          <w:tab w:pos="1417.5" w:val="num"/>
        </w:tabs>
        <w:ind w:hanging="1417.5" w:left="1417.5"/>
      </w:pPr>
    </w:lvl>
    <w:lvl w:ilvl="2">
      <w:start w:val="1"/>
      <w:suff w:val="tab"/>
      <w:lvlText w:val="%1.%2.%3"/>
      <w:lvlJc w:val="left"/>
      <w:pPr>
        <w:tabs>
          <w:tab w:pos="1417.5" w:val="num"/>
        </w:tabs>
        <w:ind w:hanging="1417.5" w:left="1417.5"/>
      </w:pPr>
    </w:lvl>
    <w:lvl w:ilvl="3">
      <w:start w:val="1"/>
      <w:suff w:val="tab"/>
      <w:lvlText w:val="%1.%2.%3.%4"/>
      <w:lvlJc w:val="left"/>
      <w:pPr>
        <w:tabs>
          <w:tab w:pos="1417.5" w:val="num"/>
        </w:tabs>
        <w:ind w:hanging="1417.5" w:left="1417.5"/>
      </w:pPr>
    </w:lvl>
    <w:lvl w:ilvl="4">
      <w:start w:val="1"/>
      <w:suff w:val="tab"/>
      <w:lvlText w:val="%1.%2.%3.%4.%5"/>
      <w:lvlJc w:val="left"/>
      <w:pPr>
        <w:tabs>
          <w:tab w:pos="1417.5" w:val="num"/>
        </w:tabs>
        <w:ind w:hanging="1417.5" w:left="1417.5"/>
      </w:pPr>
    </w:lvl>
    <w:lvl w:ilvl="5">
      <w:start w:val="1"/>
      <w:suff w:val="tab"/>
      <w:lvlText w:val="%1.%2.%3.%4.%5.%6"/>
      <w:lvlJc w:val="left"/>
      <w:pPr>
        <w:tabs>
          <w:tab w:pos="1417.5" w:val="num"/>
        </w:tabs>
        <w:ind w:hanging="1417.5" w:left="1417.5"/>
      </w:pPr>
    </w:lvl>
    <w:lvl w:ilvl="6">
      <w:start w:val="1"/>
      <w:suff w:val="tab"/>
      <w:lvlText w:val="%1.%2.%3.%4.%5.%6.%7"/>
      <w:lvlJc w:val="left"/>
      <w:pPr>
        <w:tabs>
          <w:tab w:pos="1417.5" w:val="num"/>
        </w:tabs>
        <w:ind w:hanging="1417.5" w:left="1417.5"/>
      </w:pPr>
    </w:lvl>
    <w:lvl w:ilvl="7">
      <w:start w:val="1"/>
      <w:suff w:val="tab"/>
      <w:lvlText w:val="%1.%2.%3.%4.%5.%6.%7.%8"/>
      <w:lvlJc w:val="left"/>
      <w:pPr>
        <w:tabs>
          <w:tab w:pos="1417.5" w:val="num"/>
        </w:tabs>
        <w:ind w:hanging="1417.5" w:left="1417.5"/>
      </w:pPr>
    </w:lvl>
  </w:abstractNum>
  <w:abstractNum w:abstractNumId="6">
    <w:multiLevelType w:val="hybridMultilevel"/>
    <w:lvl w:ilvl="0" w:tplc="CB7E2DBC">
      <w:start w:val="1"/>
      <w:numFmt w:val="bullet"/>
      <w:lvlText w:val="►"/>
      <w:lvlJc w:val="left"/>
      <w:pPr>
        <w:ind w:hanging="360" w:left="720"/>
      </w:pPr>
      <w:rPr>
        <w:rFonts w:ascii="Arial" w:eastAsia="AR PL KaitiM Big5" w:hAnsi="Arial" w:hint="default"/>
        <w:color w:val="97AA61"/>
        <w:sz w:val="16"/>
      </w:rPr>
    </w:lvl>
  </w:abstractNum>
  <w:num w:numId="3">
    <w:abstractNumId w:val="2"/>
  </w:num>
  <w:num w:numId="7">
    <w:abstractNumId w:val="6"/>
  </w:num>
  <w:numIdMacAtCleanup w:val="12"/>
</w:numbering>
</file>

<file path=word/settings.xml><?xml version="1.0" encoding="utf-8"?>
<w:settings xmlns:w="http://schemas.openxmlformats.org/wordprocessingml/2006/main">
  <w:view w:val="print"/>
  <w:zoom w:percent="100"/>
  <w:embedSystemFonts w:val="off"/>
  <w:defaultTabStop w:val="708"/>
  <w:autoHyphenation/>
  <w:hyphenationZone w:val="425"/>
  <w:noPunctuationKerning w:val="on"/>
  <w:characterSpacingControl w:val="doNotCompress"/>
  <w:ignoreMixedContent w:val="off"/>
  <w:alwaysShowPlaceholderText w:val="off"/>
  <w:compat>
    <w:suppressTopSpacing w:val="on"/>
    <w:suppressSpBfAfterPgBrk w:val="on"/>
    <w:doNotBreakWrappedTables w:val="off"/>
    <w:doNotSnapToGridInCell w:val="off"/>
    <w:doNotWrapTextWithPunct w:val="off"/>
    <w:doNotUseEastAsianBreakRules w:val="off"/>
    <w:growAutofit w:val="off"/>
  </w:compat>
</w:settings>
</file>

<file path=word/styles.xml><?xml version="1.0" encoding="utf-8"?>
<w:styles xmlns:w="http://schemas.openxmlformats.org/wordprocessingml/2006/main">
  <w:docDefaults>
    <w:rPrDefault>
      <w:rPr/>
    </w:rPrDefault>
    <w:pPrDefault>
      <w:pPr/>
    </w:pPrDefault>
  </w:docDefaults>
  <w:style w:default="on" w:styleId="default" w:type="paragraph">
    <w:name w:val="default"/>
    <w:pPr>
      <w:jc w:val="left"/>
    </w:pPr>
    <w:rPr>
      <w:rFonts w:ascii="Arial" w:hAnsi="Arial"/>
      <w:sz w:val="20"/>
    </w:rPr>
  </w:style>
  <w:style w:styleId="container-block" w:type="paragraph">
    <w:name w:val="container-block"/>
    <w:basedOn w:val="default"/>
    <w:pPr>
      <w:spacing w:after="200"/>
      <w:jc w:val="left"/>
    </w:pPr>
  </w:style>
  <w:style w:styleId="header" w:type="paragraph">
    <w:name w:val="header"/>
    <w:basedOn w:val="default"/>
    <w:pPr>
      <w:shd w:fill="FFFFFF" w:val="clear"/>
      <w:jc w:val="left"/>
    </w:pPr>
    <w:rPr>
      <w:b/>
      <w:color w:val="000000"/>
      <w:sz w:val="32"/>
    </w:rPr>
  </w:style>
  <w:style w:styleId="header-logo" w:type="paragraph">
    <w:name w:val="header-logo"/>
    <w:basedOn w:val="default"/>
    <w:pPr>
      <w:shd w:fill="FFFFFF" w:val="clear"/>
    </w:pPr>
    <w:rPr>
      <w:b/>
      <w:caps/>
      <w:color w:val="FFFFFF"/>
      <w:sz w:val="32"/>
    </w:rPr>
  </w:style>
  <w:style w:styleId="table-cell" w:type="paragraph">
    <w:name w:val="table-cell"/>
    <w:basedOn w:val="default"/>
    <w:pPr/>
  </w:style>
  <w:style w:styleId="footer" w:type="paragraph">
    <w:name w:val="footer"/>
    <w:basedOn w:val="default"/>
    <w:pPr>
      <w:jc w:val="left"/>
    </w:pPr>
    <w:rPr>
      <w:sz w:val="14"/>
    </w:rPr>
  </w:style>
  <w:style w:styleId="headline-content" w:type="paragraph">
    <w:name w:val="headline-content"/>
    <w:basedOn w:val="default"/>
    <w:pPr>
      <w:keepNext/>
      <w:spacing w:after="260" w:before="240"/>
      <w:jc w:val="left"/>
    </w:pPr>
    <w:rPr>
      <w:sz w:val="24"/>
    </w:rPr>
  </w:style>
  <w:style w:styleId="headline-content-0" w:type="paragraph">
    <w:name w:val="headline-content-0"/>
    <w:basedOn w:val="headline-content"/>
    <w:next w:val="par"/>
    <w:pPr>
      <w:keepNext/>
      <w:spacing w:after="0" w:before="240"/>
      <w:jc w:val="left"/>
    </w:pPr>
    <w:rPr>
      <w:b/>
    </w:rPr>
  </w:style>
  <w:style w:styleId="headline-content-0-hidden" w:type="paragraph">
    <w:basedOn w:val="headline-content-0"/>
  </w:style>
  <w:style w:styleId="headline-content-1" w:type="paragraph">
    <w:name w:val="headline-content-1"/>
    <w:basedOn w:val="headline-content"/>
    <w:next w:val="par"/>
    <w:pPr>
      <w:spacing w:after="0"/>
      <w:jc w:val="left"/>
      <w:outlineLvl w:val="0"/>
    </w:pPr>
    <w:rPr>
      <w:sz w:val="16"/>
    </w:rPr>
  </w:style>
  <w:style w:styleId="headline-content-1-hidden" w:type="paragraph">
    <w:basedOn w:val="headline-content-1"/>
  </w:style>
  <w:style w:styleId="label-first" w:type="paragraph">
    <w:name w:val="label-first"/>
    <w:basedOn w:val="default"/>
    <w:pPr>
      <w:spacing w:after="200"/>
    </w:pPr>
    <w:rPr>
      <w:b/>
      <w:sz w:val="20"/>
    </w:rPr>
  </w:style>
  <w:style w:styleId="label" w:type="paragraph">
    <w:name w:val="label"/>
    <w:basedOn w:val="default"/>
    <w:pPr>
      <w:suppressAutoHyphens w:val="on"/>
      <w:spacing w:before="200"/>
      <w:jc w:val="left"/>
    </w:pPr>
    <w:rPr>
      <w:b/>
      <w:sz w:val="20"/>
    </w:rPr>
  </w:style>
  <w:style w:styleId="par" w:type="paragraph">
    <w:name w:val="par"/>
    <w:basedOn w:val="default"/>
    <w:pPr>
      <w:suppressAutoHyphens w:val="on"/>
      <w:spacing w:after="200"/>
      <w:jc w:val="left"/>
    </w:pPr>
    <w:rPr/>
  </w:style>
  <w:style w:styleId="par-first" w:type="paragraph">
    <w:name w:val="par-first"/>
    <w:basedOn w:val="default"/>
    <w:pPr>
      <w:suppressAutoHyphens w:val="on"/>
      <w:spacing w:after="200"/>
      <w:jc w:val="left"/>
    </w:pPr>
    <w:rPr>
      <w:i/>
    </w:rPr>
  </w:style>
  <w:style w:styleId="media" w:type="paragraph">
    <w:name w:val="media"/>
    <w:basedOn w:val="default"/>
    <w:pPr>
      <w:ind w:right="3969"/>
    </w:pPr>
  </w:style>
  <w:style w:styleId="media-caption" w:type="paragraph">
    <w:name w:val="media-caption"/>
    <w:basedOn w:val="default"/>
    <w:pPr>
      <w:spacing w:before="120"/>
    </w:pPr>
    <w:rPr>
      <w:sz w:val="18"/>
    </w:rPr>
  </w:style>
  <w:style w:styleId="PageMargins" w:type="paragraph">
    <w:name w:val="PageMargins"/>
    <w:basedOn w:val="default"/>
    <w:pPr/>
  </w:style>
  <w:style w:styleId="Heading0" w:type="paragraph">
    <w:name w:val="Heading 0"/>
    <w:basedOn w:val="headline-content-0"/>
  </w:style>
  <w:style w:styleId="Heading1" w:type="paragraph">
    <w:name w:val="Heading 1"/>
    <w:basedOn w:val="headline-content-1"/>
  </w:style>
  <w:style w:styleId="Heading2" w:type="paragraph">
    <w:name w:val="Heading 2"/>
    <w:basedOn w:val="headline-content-2"/>
  </w:style>
  <w:style w:styleId="Heading3" w:type="paragraph">
    <w:name w:val="Heading 3"/>
    <w:basedOn w:val="headline-content-3"/>
  </w:style>
  <w:style w:styleId="Heading4" w:type="paragraph">
    <w:name w:val="Heading 4"/>
    <w:basedOn w:val="headline-content-4"/>
  </w:style>
  <w:style w:styleId="Heading5" w:type="paragraph">
    <w:name w:val="Heading 5"/>
    <w:basedOn w:val="headline-content-5"/>
  </w:style>
  <w:style w:styleId="Heading6" w:type="paragraph">
    <w:name w:val="Heading 6"/>
    <w:basedOn w:val="headline-content-6"/>
  </w:style>
  <w:style w:styleId="Heading7" w:type="paragraph">
    <w:name w:val="Heading 7"/>
    <w:basedOn w:val="headline-content-7"/>
  </w:style>
  <w:style w:styleId="headline-content-run0" w:type="character">
    <w:name w:val="headline-content-run 0"/>
  </w:style>
  <w:style w:styleId="headline-content-run1" w:type="character">
    <w:name w:val="headline-content-run 1"/>
  </w:style>
  <w:style w:styleId="headline-content-run2" w:type="character">
    <w:name w:val="headline-content-run 2"/>
  </w:style>
  <w:style w:styleId="headline-content-run3" w:type="character">
    <w:name w:val="headline-content-run 3"/>
  </w:style>
  <w:style w:styleId="headline-content-run4" w:type="character">
    <w:name w:val="headline-content-run 4"/>
  </w:style>
  <w:style w:styleId="headline-content-run5" w:type="character">
    <w:name w:val="headline-content-run 5"/>
  </w:style>
  <w:style w:styleId="headline-content-run6" w:type="character">
    <w:name w:val="headline-content-run 6"/>
  </w:style>
  <w:style w:styleId="headline-content-run7" w:type="character">
    <w:name w:val="headline-content-run 7"/>
  </w:style>
  <w:style w:styleId="TOC1" w:type="paragraph">
    <w:name w:val="toc 1"/>
    <w:basedOn w:val="default"/>
    <w:semiHidden/>
    <w:pPr>
      <w:tabs>
        <w:tab w:leader="dot" w:pos="9639" w:val="right"/>
      </w:tabs>
      <w:spacing w:after="0" w:before="0"/>
      <w:ind w:hanging="0" w:left="0"/>
    </w:pPr>
  </w:style>
  <w:style w:styleId="TOC2" w:type="paragraph">
    <w:name w:val="toc 2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3" w:type="paragraph">
    <w:name w:val="toc 3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4" w:type="paragraph">
    <w:name w:val="toc 4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5" w:type="paragraph">
    <w:name w:val="toc 5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IndexHeading" w:type="paragraph">
    <w:name w:val="index heading"/>
    <w:basedOn w:val="default"/>
  </w:style>
  <w:style w:styleId="Index1" w:type="paragraph">
    <w:name w:val="index 1"/>
    <w:basedOn w:val="default"/>
  </w:style>
  <w:style w:styleId="Index2" w:type="paragraph">
    <w:name w:val="index 2"/>
    <w:basedOn w:val="default"/>
    <w:pPr>
      <w:ind w:hanging="200" w:left="480"/>
    </w:pPr>
  </w:style>
  <w:style w:styleId="TableofFigures" w:type="paragraph">
    <w:name w:val="table of figures"/>
    <w:basedOn w:val="default"/>
  </w:style>
  <w:style w:styleId="FootnoteReference" w:type="character">
    <w:name w:val="footnote reference"/>
    <w:rPr>
      <w:vertAlign w:val="superscript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document.xml.rels><?xml version="1.0" encoding="UTF-8"?><Relationships xmlns="http://schemas.openxmlformats.org/package/2006/relationships"><Relationship Id="rId1" Target="styles.xml" Type="http://schemas.openxmlformats.org/officeDocument/2006/relationships/styles"/><Relationship Id="N10431" Target="header1.xml" Type="http://schemas.openxmlformats.org/officeDocument/2006/relationships/header"/><Relationship Id="N104C5" Target="footer1.xml" Type="http://schemas.openxmlformats.org/officeDocument/2006/relationships/footer"/><Relationship Id="N103B0" Target="media/N103B0.jpg" Type="http://schemas.openxmlformats.org/officeDocument/2006/relationships/image"/><Relationship Id="rId5" Target="footnotes.xml" Type="http://schemas.openxmlformats.org/officeDocument/2006/relationships/footnotes"/><Relationship Id="rId6" Target="numbering.xml" Type="http://schemas.openxmlformats.org/officeDocument/2006/relationships/numbering"/><Relationship Id="rId7" Target="settings.xml" Type="http://schemas.openxmlformats.org/officeDocument/2006/relationships/settings"/><Relationship Id="rId8" Target="webSettings.xml" Type="http://schemas.openxmlformats.org/officeDocument/2006/relationships/webSettings"/></Relationships>
</file>

<file path=word/_rels/footer1.xml.rels><?xml version="1.0" encoding="UTF-8"?><Relationships xmlns="http://schemas.openxmlformats.org/package/2006/relationships"/>
</file>

<file path=word/_rels/footnotes.xml.rels><?xml version="1.0" encoding="UTF-8"?><Relationships xmlns="http://schemas.openxmlformats.org/package/2006/relationships"/>
</file>

<file path=word/_rels/header1.xml.rels><?xml version="1.0" encoding="UTF-8"?><Relationships xmlns="http://schemas.openxmlformats.org/package/2006/relationships"><Relationship Id="N10498" Target="media/N10498.jpg" Type="http://schemas.openxmlformats.org/officeDocument/2006/relationships/image"/></Relationships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>
  <dc:title/>
  <dc:creator>Smart Media Creator</dc:creator>
  <cp:lastModifiedBy>Smart Media Creator</cp:lastModifiedBy>
  <cp:revision>1</cp:revision>
</cp:coreProperties>
</file>