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Scalability+ 面向工业4.0时代的平台</w:t>
      </w:r>
    </w:p>
    <w:p>
      <w:pPr>
        <w:pStyle w:val="label-first"/>
        <w:keepNext/>
        <w:ind w:left="0"/>
      </w:pPr>
      <w:r>
        <w:rPr>
          <w:b/>
          <w:sz w:val="20"/>
        </w:rPr>
        <w:t xml:space="preserve">贝加莱CHINAPLAS 2015全新智慧工厂与智能制造方案展示</w:t>
      </w:r>
    </w:p>
    <w:p>
      <w:pPr>
        <w:pStyle w:val="par-first"/>
        <w:ind w:left="0"/>
        <w:jc w:val="left"/>
      </w:pPr>
      <w:r>
        <w:rPr>
          <w:i/>
          <w:i/>
        </w:rPr>
        <w:t xml:space="preserve">如同过去的十数年一样，贝加莱持续关注塑料工业，今天，工业4.0正在成为潮流，而贝加莱作为技术领导者，一直走在自动化技术与行业应用的前列，这次Chinaplas，贝加莱将展出最具竞争力的全新解决方案--瞄准未来4.0时代的工厂，包括其APROL智慧工厂、智能制造的MAPP平台，统称Scalability+。</w:t>
      </w:r>
    </w:p>
    <w:p>
      <w:pPr>
        <w:pStyle w:val="label"/>
        <w:keepNext/>
        <w:ind w:left="0"/>
      </w:pPr>
      <w:r>
        <w:rPr>
          <w:b/>
          <w:sz w:val="20"/>
        </w:rPr>
        <w:t xml:space="preserve">智慧工厂“塑”造未来</w:t>
      </w:r>
    </w:p>
    <w:p>
      <w:pPr>
        <w:pStyle w:val="par"/>
        <w:ind w:left="0"/>
      </w:pPr>
      <w:r>
        <w:rPr/>
        <w:t xml:space="preserve">过去数年里，工厂的集成变得更为迫切，贝加莱通过在各个领域的实现方案封装，为智慧工厂提供了在基础数据采集的PDA、能源数据采集的EnMon、预测性维护的ConMon以及工厂设备互联的集群管理系统，目前已经在包括塑料、印刷、电子等工厂得到了广泛应用，此次，该智慧工厂平台将与塑料工业探讨更为高效的塑料工厂/车间的数字化方案。  </w:t>
      </w:r>
    </w:p>
    <w:p>
      <w:pPr>
        <w:pStyle w:val="label"/>
        <w:keepNext/>
        <w:ind w:left="0"/>
      </w:pPr>
      <w:r>
        <w:rPr>
          <w:b/>
          <w:sz w:val="20"/>
        </w:rPr>
        <w:t xml:space="preserve">MAPP-模块化智能机器开发</w:t>
      </w:r>
    </w:p>
    <w:p>
      <w:pPr>
        <w:pStyle w:val="par"/>
        <w:ind w:left="0"/>
      </w:pPr>
      <w:r>
        <w:rPr/>
        <w:t xml:space="preserve">本次CHINAPLAS，贝加莱的MAPP正式在中国展台亮相，它设计为从软件层面最为个性化的机器设计，通过标准的模块封装，MAPP将实现面向塑料机械、机器人集成、安全、通信等集成应用的最大灵活实现方案，相较于传统的软件开发，其能够降低67%的成本。  MAPP为机器开发带来全新的实现.。它不是停留在概念阶段，而是具有现实和可验证的商业价值。 </w:t>
      </w:r>
    </w:p>
    <w:p>
      <w:pPr>
        <w:pStyle w:val="label"/>
        <w:keepNext/>
        <w:ind w:left="0"/>
      </w:pPr>
      <w:r>
        <w:rPr>
          <w:b/>
          <w:sz w:val="20"/>
        </w:rPr>
        <w:t xml:space="preserve">全新产品亮相CHINAPLAS</w:t>
      </w:r>
    </w:p>
    <w:p>
      <w:pPr>
        <w:pStyle w:val="par"/>
        <w:ind w:left="0"/>
      </w:pPr>
      <w:r>
        <w:rPr/>
        <w:t xml:space="preserve">除此之外，模块化PPC2100系列--完全适应所有机器需求的模块化PC结构，最新的驱动ACOPOS P3产品—实现1个驱动单元3个电机的驱动，最大节省空间和成本，最新的HMI-C70和T30系列—更为经济的产品，这些完全满足塑料工业对于未来更为智能机器以及工厂的设计需求。</w:t>
      </w:r>
    </w:p>
    <w:p/>
    <w:bookmarkStart w:id="6" w:name="_XREFN1009B"/>
    <w:bookmarkStart w:id="7" w:name="_XREFN100A0"/>
    <w:p>
      <w:pPr>
        <w:spacing w:after="200" w:before="0"/>
        <w:ind w:left="0"/>
      </w:pPr>
      <w:r>
        <w:drawing>
          <wp:inline xmlns:wp="http://schemas.openxmlformats.org/drawingml/2006/wordprocessingDrawing" distB="0" distL="0" distR="0" distT="0">
            <wp:extent cx="3600000" cy="2400000"/>
            <wp:effectExtent b="0" l="0" r="0" t="0"/>
            <wp:docPr id="1" name="scal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
                    <pic:cNvPicPr/>
                  </pic:nvPicPr>
                  <pic:blipFill>
                    <a:blip xmlns:r="http://schemas.openxmlformats.org/officeDocument/2006/relationships" cstate="print" r:embed="N103C5"/>
                    <a:stretch>
                      <a:fillRect/>
                    </a:stretch>
                  </pic:blipFill>
                  <pic:spPr>
                    <a:xfrm>
                      <a:off x="0" y="0"/>
                      <a:ext cx="3600000" cy="2400000"/>
                    </a:xfrm>
                    <a:prstGeom prst="rect">
                      <a:avLst/>
                    </a:prstGeom>
                  </pic:spPr>
                </pic:pic>
              </a:graphicData>
            </a:graphic>
          </wp:inline>
        </w:drawing>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C" w:type="default"/>
      <w:footerReference xmlns:r="http://schemas.openxmlformats.org/officeDocument/2006/relationships" r:id="N104D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C" Target="header1.xml" Type="http://schemas.openxmlformats.org/officeDocument/2006/relationships/header"/><Relationship Id="N104D0"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3" Target="media/N104A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