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贝加莱工博会亮点之智能控制器-Compact CPU</w:t>
      </w:r>
    </w:p>
    <w:p>
      <w:pPr>
        <w:pStyle w:val="label-first"/>
        <w:keepNext/>
        <w:ind w:left="0"/>
      </w:pPr>
      <w:r>
        <w:rPr>
          <w:b/>
          <w:sz w:val="20"/>
        </w:rPr>
        <w:t xml:space="preserve">中小机器的智能器选择难题</w:t>
      </w:r>
    </w:p>
    <w:p>
      <w:pPr>
        <w:pStyle w:val="par-first"/>
        <w:ind w:left="0"/>
        <w:jc w:val="left"/>
      </w:pPr>
      <w:r>
        <w:rPr>
          <w:i/>
          <w:i/>
        </w:rPr>
        <w:t xml:space="preserve">寻找合适的控制器并非想象那么简单，尽管市场上有大量的产品可以选择，然而，随着智能制造时代的到来，控制器的要求不再是传统的逻辑那么简单，即使小机器，也需要更为智能的设计，比如：远程的维护能力、本地数据存储能力、时间苛刻的任务处理需求，而传统上，这些强大的支持能力往往来自于大型的PLC或者基于PC的控制器，这就使得在强大功能与中小机器对于成本的苛刻之间难以平衡。</w:t>
      </w:r>
    </w:p>
    <w:p>
      <w:pPr>
        <w:pStyle w:val="par"/>
        <w:ind w:left="0"/>
      </w:pPr>
      <w:r>
        <w:rPr/>
        <w:t xml:space="preserve">贝加莱为这些新的机器设计了新的Compact系列CPU，它解决了强大的功能与成本之间平衡的问题。</w:t>
      </w:r>
    </w:p>
    <w:p>
      <w:pPr>
        <w:pStyle w:val="label"/>
        <w:keepNext/>
        <w:ind w:left="0"/>
      </w:pPr>
      <w:r>
        <w:rPr>
          <w:b/>
          <w:sz w:val="20"/>
        </w:rPr>
        <w:t xml:space="preserve">丰富的网络互联组合</w:t>
      </w:r>
    </w:p>
    <w:p>
      <w:pPr>
        <w:pStyle w:val="par"/>
        <w:ind w:left="0"/>
      </w:pPr>
      <w:r>
        <w:rPr/>
        <w:t xml:space="preserve">智能制造时代，设备更多趋向于互联的集成生产，因此，对于每个设备的互联接口要求也较之过去更高， 丰富的接口，即使面对小机器而言，也可能会连接不同的第三方产品组成特有的网络 </w:t>
      </w:r>
    </w:p>
    <w:p>
      <w:pPr>
        <w:pStyle w:val="par"/>
        <w:ind w:left="0"/>
      </w:pPr>
      <w:r>
        <w:rPr/>
        <w:t xml:space="preserve">	-- CAN 	</w:t>
      </w:r>
    </w:p>
    <w:p>
      <w:pPr>
        <w:pStyle w:val="par"/>
        <w:ind w:left="0"/>
      </w:pPr>
      <w:r>
        <w:rPr/>
        <w:t xml:space="preserve"> -- RS232 	</w:t>
      </w:r>
    </w:p>
    <w:p>
      <w:pPr>
        <w:pStyle w:val="par"/>
        <w:ind w:left="0"/>
      </w:pPr>
      <w:r>
        <w:rPr/>
        <w:t xml:space="preserve"> -- 标准以太网POWERLINK实时以太网 </w:t>
      </w:r>
    </w:p>
    <w:p>
      <w:pPr>
        <w:pStyle w:val="par"/>
        <w:ind w:left="0"/>
      </w:pPr>
      <w:r>
        <w:rPr/>
        <w:t xml:space="preserve"> -- 灵活的接口槽可以支持其它如 </w:t>
      </w:r>
    </w:p>
    <w:p>
      <w:pPr>
        <w:pStyle w:val="par"/>
        <w:ind w:left="0"/>
      </w:pPr>
      <w:r>
        <w:rPr/>
        <w:t xml:space="preserve">	-- Profinet 	</w:t>
      </w:r>
    </w:p>
    <w:p>
      <w:pPr>
        <w:pStyle w:val="par"/>
        <w:ind w:left="0"/>
      </w:pPr>
      <w:r>
        <w:rPr/>
        <w:t xml:space="preserve"> -- CANopen 	</w:t>
      </w:r>
    </w:p>
    <w:p>
      <w:pPr>
        <w:pStyle w:val="par"/>
        <w:ind w:left="0"/>
      </w:pPr>
      <w:r>
        <w:rPr/>
        <w:t xml:space="preserve"> -- Ethern/IP等主流基于以太网的总线接口 </w:t>
      </w:r>
    </w:p>
    <w:p>
      <w:pPr>
        <w:pStyle w:val="par"/>
        <w:ind w:left="0"/>
      </w:pPr>
      <w:r>
        <w:rPr/>
        <w:t xml:space="preserve">	…  </w:t>
      </w:r>
    </w:p>
    <w:p>
      <w:pPr>
        <w:pStyle w:val="par"/>
        <w:ind w:left="0"/>
      </w:pPr>
      <w:r>
        <w:rPr/>
        <w:t xml:space="preserve">由Compact CPU构成可以至少配置出多种网络的组合，以与其它第三方设备、管理层的互联，虽然它 很紧凑，但是，同样可以实现Web Server、VNC Server的远程访问能力，这些都是与标准的X20CPU 一致的能力，对于未来机器而言，通过OPC UA与MES、ERP的互联而言也尤为重要，对于Compact  CPU而言，同样可嵌入OPC Server于其中，来实现管理层的数据访问。 </w:t>
      </w:r>
    </w:p>
    <w:p>
      <w:pPr>
        <w:pStyle w:val="par"/>
        <w:ind w:left="0"/>
      </w:pPr>
      <w:r>
        <w:rPr/>
        <w:t xml:space="preserve">尽管这款控制器设计紧凑，但能力却强大，采用IntelX86处理器，并标配了RS232、CAN</w:t>
      </w:r>
    </w:p>
    <w:p>
      <w:pPr>
        <w:pStyle w:val="label"/>
        <w:keepNext/>
        <w:ind w:left="0"/>
      </w:pPr>
      <w:r>
        <w:rPr>
          <w:b/>
          <w:sz w:val="20"/>
        </w:rPr>
        <w:t xml:space="preserve">实时控制</w:t>
      </w:r>
    </w:p>
    <w:p>
      <w:pPr>
        <w:pStyle w:val="par"/>
        <w:ind w:left="0"/>
      </w:pPr>
      <w:r>
        <w:rPr/>
        <w:t xml:space="preserve">最新的Compact CPU可以为机器提供1mS以内的任务处理能力，即使对3-4个轴的CNC和机器人而言，Compact CPU也可以胜任其控制需求。</w:t>
      </w:r>
    </w:p>
    <w:p>
      <w:pPr>
        <w:pStyle w:val="label"/>
        <w:keepNext/>
        <w:ind w:left="0"/>
      </w:pPr>
      <w:r>
        <w:rPr>
          <w:b/>
          <w:sz w:val="20"/>
        </w:rPr>
        <w:t xml:space="preserve">reACTION-1μS的任务周期</w:t>
      </w:r>
    </w:p>
    <w:p>
      <w:pPr>
        <w:pStyle w:val="par"/>
        <w:ind w:left="0"/>
      </w:pPr>
      <w:r>
        <w:rPr/>
        <w:t xml:space="preserve">对于那些需要在需要μS、10μS级别的处理任务而言，需要非常高的处理器来实现，但是，又往往仅仅1-2个点，这就使得用户必须为了这些功能而支付昂贵的硬件成本，而Compact CPU的reACTION功能使得标准的CPU即可实现1μS这一级别的处理能力，而且与普通的PLC一样基于IEC61131-3来编程，这得益于FPGA技术的成熟与不断下降的成本。</w:t>
      </w:r>
    </w:p>
    <w:p>
      <w:pPr>
        <w:pStyle w:val="label"/>
        <w:keepNext/>
        <w:ind w:left="0"/>
      </w:pPr>
      <w:r>
        <w:rPr>
          <w:b/>
          <w:sz w:val="20"/>
        </w:rPr>
        <w:t xml:space="preserve">适应于机器控制的丰富I/O组合</w:t>
      </w:r>
    </w:p>
    <w:p>
      <w:pPr>
        <w:pStyle w:val="par"/>
        <w:ind w:left="0"/>
      </w:pPr>
      <w:r>
        <w:rPr/>
        <w:t xml:space="preserve">机器更为智能意味着需要丰富的智能算法支持，而非简单的逻辑控制，从Compact CPU的配置我们可以看到，它为机器配置了额外的输入： 	</w:t>
      </w:r>
    </w:p>
    <w:p>
      <w:pPr>
        <w:pStyle w:val="par"/>
        <w:ind w:left="0"/>
      </w:pPr>
      <w:r>
        <w:rPr/>
        <w:t xml:space="preserve">-- 4路高速计数，对于外接的编码器可以直接采样，得到250kHz 	</w:t>
      </w:r>
    </w:p>
    <w:p>
      <w:pPr>
        <w:pStyle w:val="par"/>
        <w:ind w:left="0"/>
      </w:pPr>
      <w:r>
        <w:rPr/>
        <w:t xml:space="preserve">-- 4路PWM输出，可以提供200kHz 	</w:t>
      </w:r>
    </w:p>
    <w:p>
      <w:pPr>
        <w:pStyle w:val="par"/>
        <w:ind w:left="0"/>
      </w:pPr>
      <w:r>
        <w:rPr/>
        <w:t xml:space="preserve">-- 2路模拟量和1路PT1000的温度采样。 </w:t>
      </w:r>
    </w:p>
    <w:p>
      <w:pPr>
        <w:pStyle w:val="par"/>
        <w:ind w:left="0"/>
      </w:pPr>
      <w:r>
        <w:rPr/>
        <w:t xml:space="preserve">扩展同样方便 </w:t>
      </w:r>
    </w:p>
    <w:p>
      <w:pPr>
        <w:pStyle w:val="par"/>
        <w:ind w:left="0"/>
      </w:pPr>
      <w:r>
        <w:rPr/>
        <w:t xml:space="preserve">与标准X20CPU一样，I/O就直接可以扩展在右侧的。 </w:t>
      </w:r>
    </w:p>
    <w:p/>
    <w:bookmarkStart w:id="29" w:name="_XREFN1009B"/>
    <w:bookmarkStart w:id="30" w:name="_XREFN100A0"/>
    <w:p>
      <w:pPr>
        <w:spacing w:after="200" w:before="0"/>
        <w:ind w:left="0"/>
      </w:pPr>
      <w:r>
        <w:drawing>
          <wp:inline xmlns:wp="http://schemas.openxmlformats.org/drawingml/2006/wordprocessingDrawing" distB="0" distL="0" distR="0" distT="0">
            <wp:extent cx="3600000" cy="2700762"/>
            <wp:effectExtent b="0" l="0" r="0" t="0"/>
            <wp:docPr id="1" name="CompactP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actPLC"/>
                    <pic:cNvPicPr/>
                  </pic:nvPicPr>
                  <pic:blipFill>
                    <a:blip xmlns:r="http://schemas.openxmlformats.org/officeDocument/2006/relationships" cstate="print" r:embed="N104DA"/>
                    <a:stretch>
                      <a:fillRect/>
                    </a:stretch>
                  </pic:blipFill>
                  <pic:spPr>
                    <a:xfrm>
                      <a:off x="0" y="0"/>
                      <a:ext cx="3600000" cy="2700762"/>
                    </a:xfrm>
                    <a:prstGeom prst="rect">
                      <a:avLst/>
                    </a:prstGeom>
                  </pic:spPr>
                </pic:pic>
              </a:graphicData>
            </a:graphic>
          </wp:inline>
        </w:drawing>
      </w:r>
    </w:p>
    <w:bookmarkEnd w:id="30"/>
    <w:bookmarkEnd w:id="29"/>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551" w:type="default"/>
      <w:footerReference xmlns:r="http://schemas.openxmlformats.org/officeDocument/2006/relationships" r:id="N105E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B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51" Target="header1.xml" Type="http://schemas.openxmlformats.org/officeDocument/2006/relationships/header"/><Relationship Id="N105E5" Target="footer1.xml" Type="http://schemas.openxmlformats.org/officeDocument/2006/relationships/footer"/><Relationship Id="N104DA" Target="media/N104D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B8" Target="media/N105B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