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Cinemática complexa, operação fácil</w:t>
      </w:r>
    </w:p>
    <w:p>
      <w:pPr>
        <w:pStyle w:val="label-first"/>
        <w:keepNext/>
        <w:ind w:left="0"/>
      </w:pPr>
      <w:r>
        <w:rPr>
          <w:b/>
          <w:sz w:val="20"/>
        </w:rPr>
        <w:t xml:space="preserve">Novos componentes do mapp: Configure e controle até 15 eixos</w:t>
      </w:r>
    </w:p>
    <w:p>
      <w:pPr>
        <w:pStyle w:val="par-first"/>
        <w:ind w:left="0"/>
        <w:jc w:val="left"/>
      </w:pPr>
      <w:r>
        <w:rPr>
          <w:i/>
          <w:i/>
        </w:rPr>
        <w:t xml:space="preserve">A B&amp;R expandiu ainda mais o seu portfólio de componentes de software </w:t>
      </w:r>
      <w:r>
        <w:rPr>
          <w:i/>
          <w:i/>
        </w:rPr>
        <w:t>mapp</w:t>
      </w:r>
      <w:r>
        <w:rPr>
          <w:i/>
          <w:i/>
        </w:rPr>
        <w:t xml:space="preserve"> modulares. O novo mapp RoboX e mapp Teach tornam mais rápido e fácil que nunca a obtenção de sistemas robotizados configurados e prontos para operação.</w:t>
      </w:r>
    </w:p>
    <w:p>
      <w:pPr>
        <w:pStyle w:val="par"/>
        <w:ind w:left="0"/>
      </w:pPr>
      <w:r>
        <w:rPr/>
        <w:t xml:space="preserve">mapp RoboX pode ser usado para controlar qualquer sistema cinemático com até 15 eixos. Os desenvolvedores desfrutam de uma liberdade completa de design, enquanto ainda se beneficiam de todas as conveniências da tecnologia mapp. O robô é simples de parametrizar, com visualização e diagnóstico já a bordo. Isso economiza tempo valioso, tanto no desenvolvimento quanto durante a operação</w:t>
      </w:r>
    </w:p>
    <w:p>
      <w:pPr>
        <w:pStyle w:val="label"/>
        <w:keepNext/>
        <w:ind w:left="0"/>
      </w:pPr>
      <w:r>
        <w:rPr>
          <w:b/>
          <w:sz w:val="20"/>
        </w:rPr>
        <w:t xml:space="preserve">Comissionamento rápido</w:t>
      </w:r>
    </w:p>
    <w:p>
      <w:pPr>
        <w:pStyle w:val="par"/>
        <w:ind w:left="0"/>
      </w:pPr>
      <w:r>
        <w:rPr/>
        <w:t xml:space="preserve">Para o próximo passo, há mapp Teach, que fornece funcionalidade intuitiva de ensino para definir e gerenciar as seqüências de movimento do robô e levá-lo a funcionar em nenhum momento.</w:t>
      </w:r>
    </w:p>
    <w:p>
      <w:pPr>
        <w:pStyle w:val="label"/>
        <w:keepNext/>
        <w:ind w:left="0"/>
      </w:pPr>
      <w:r>
        <w:rPr>
          <w:b/>
          <w:sz w:val="20"/>
        </w:rPr>
        <w:t xml:space="preserve">Rápido desenvolvimento</w:t>
      </w:r>
    </w:p>
    <w:p>
      <w:pPr>
        <w:pStyle w:val="par"/>
        <w:ind w:left="0"/>
      </w:pPr>
      <w:r>
        <w:rPr/>
        <w:t>Tecnologia mapp </w:t>
      </w:r>
      <w:r>
        <w:rPr/>
        <w:t xml:space="preserve"> consiste em blocos individualmente encapsulados que simplificam o desenvolvimento de novas aplicações. Os componentes fornecem funcionalidades básicas que podem ser configuradas graficamente - reduzindo os tempos de desenvolvimento em uma média de 67%. Todos os componentes mapp estão ligados através de links mapp. Cada componente mapp recupera os dados que ele precisa de outros componentes usando um modelo cliente-servidor.</w:t>
      </w:r>
    </w:p>
    <w:p/>
    <w:bookmarkStart w:id="6" w:name="_XREFN1003D"/>
    <w:bookmarkStart w:id="7" w:name="_XREFN10042"/>
    <w:p>
      <w:pPr>
        <w:keepNext/>
        <w:spacing w:after="20" w:before="0"/>
        <w:ind w:left="0"/>
      </w:pPr>
      <w:r>
        <w:drawing>
          <wp:inline xmlns:wp="http://schemas.openxmlformats.org/drawingml/2006/wordprocessingDrawing" distB="0" distL="0" distR="0" distT="0">
            <wp:extent cx="3600000" cy="2401172"/>
            <wp:effectExtent b="0" l="0" r="0" t="0"/>
            <wp:docPr id="1" name="Laptop vollflächig_Screen mapp - ohn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top vollflächig_Screen mapp - ohne BG"/>
                    <pic:cNvPicPr/>
                  </pic:nvPicPr>
                  <pic:blipFill>
                    <a:blip xmlns:r="http://schemas.openxmlformats.org/officeDocument/2006/relationships" cstate="print" r:embed="N103CB"/>
                    <a:stretch>
                      <a:fillRect/>
                    </a:stretch>
                  </pic:blipFill>
                  <pic:spPr>
                    <a:xfrm>
                      <a:off x="0" y="0"/>
                      <a:ext cx="3600000" cy="2401172"/>
                    </a:xfrm>
                    <a:prstGeom prst="rect">
                      <a:avLst/>
                    </a:prstGeom>
                  </pic:spPr>
                </pic:pic>
              </a:graphicData>
            </a:graphic>
          </wp:inline>
        </w:drawing>
      </w:r>
    </w:p>
    <w:p>
      <w:pPr>
        <w:pStyle w:val="media-caption"/>
        <w:ind w:left="0"/>
      </w:pPr>
      <w:r>
        <w:t xml:space="preserve">O novo mapp RoboX e mapp Teach tornam mais rápido e fácil que nunca a obtenção de sistemas robotizados configurados e prontos para operação</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