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Complex kinematics, easy operation</w:t>
      </w:r>
    </w:p>
    <w:p>
      <w:pPr>
        <w:pStyle w:val="label-first"/>
        <w:keepNext/>
        <w:ind w:left="0"/>
      </w:pPr>
      <w:r>
        <w:rPr>
          <w:b/>
          <w:sz w:val="20"/>
        </w:rPr>
        <w:t xml:space="preserve">New mapp components: Set up and control up to 15 axes</w:t>
      </w:r>
    </w:p>
    <w:p>
      <w:pPr>
        <w:pStyle w:val="par-first"/>
        <w:ind w:left="0"/>
        <w:jc w:val="left"/>
      </w:pPr>
      <w:r>
        <w:rPr>
          <w:i/>
          <w:i/>
        </w:rPr>
        <w:t>mapp Teknolojisi</w:t>
      </w:r>
      <w:r>
        <w:rPr>
          <w:i/>
          <w:i/>
        </w:rPr>
        <w:t xml:space="preserve"> The new mapp RoboX and mapp Teach make it faster and easier than ever to get robotic systems configured and ready for operation.</w:t>
      </w:r>
    </w:p>
    <w:p>
      <w:pPr>
        <w:pStyle w:val="par"/>
        <w:ind w:left="0"/>
      </w:pPr>
      <w:r>
        <w:rPr/>
        <w:t xml:space="preserve">mapp RoboX can be used to control any kinematic system with up to 15 axes. Developers enjoy complete design freedom while still benefiting from all the conveniences of mapp technology. The robot is simple to parameterize, with visualization and diagnostics already on board. This saves valuable time, both in development and during operation.</w:t>
      </w:r>
    </w:p>
    <w:p>
      <w:pPr>
        <w:pStyle w:val="label"/>
        <w:keepNext/>
        <w:ind w:left="0"/>
      </w:pPr>
      <w:r>
        <w:rPr>
          <w:b/>
          <w:sz w:val="20"/>
        </w:rPr>
        <w:t xml:space="preserve">Fast commissioning</w:t>
      </w:r>
    </w:p>
    <w:p>
      <w:pPr>
        <w:pStyle w:val="par"/>
        <w:ind w:left="0"/>
      </w:pPr>
      <w:r>
        <w:rPr/>
        <w:t xml:space="preserve">For the next step there is mapp Teach, which provides intuitive teach-in functionality to define and manage the robot's movement sequences and get it up and running in no time.</w:t>
      </w:r>
    </w:p>
    <w:p>
      <w:pPr>
        <w:pStyle w:val="label"/>
        <w:keepNext/>
        <w:ind w:left="0"/>
      </w:pPr>
      <w:r>
        <w:rPr>
          <w:b/>
          <w:sz w:val="20"/>
        </w:rPr>
        <w:t xml:space="preserve">Fast development</w:t>
      </w:r>
    </w:p>
    <w:p>
      <w:pPr>
        <w:pStyle w:val="par"/>
        <w:ind w:left="0"/>
      </w:pPr>
      <w:r>
        <w:rPr/>
        <w:t>mapp Teknolojisi</w:t>
      </w:r>
      <w:r>
        <w:rPr/>
        <w:t xml:space="preserve"> The components provide basic functionality that can be configured graphically – cutting development times by an average of 67%. All mapp components are connected via mapp links. Each mapp component retrieves the data it needs from other components using a client-server model.</w:t>
      </w:r>
    </w:p>
    <w:p/>
    <w:bookmarkStart w:id="6" w:name="_XREFN1003D"/>
    <w:bookmarkStart w:id="7" w:name="_XREFN10042"/>
    <w:p>
      <w:pPr>
        <w:keepNext/>
        <w:spacing w:after="20" w:before="0"/>
        <w:ind w:left="0"/>
      </w:pPr>
      <w:r>
        <w:drawing>
          <wp:inline xmlns:wp="http://schemas.openxmlformats.org/drawingml/2006/wordprocessingDrawing" distB="0" distL="0" distR="0" distT="0">
            <wp:extent cx="3600000" cy="2401172"/>
            <wp:effectExtent b="0" l="0" r="0" t="0"/>
            <wp:docPr id="1" name="Laptop vollflächig_Screen mapp - ohn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 vollflächig_Screen mapp - ohne BG"/>
                    <pic:cNvPicPr/>
                  </pic:nvPicPr>
                  <pic:blipFill>
                    <a:blip xmlns:r="http://schemas.openxmlformats.org/officeDocument/2006/relationships" cstate="print" r:embed="N103C0"/>
                    <a:stretch>
                      <a:fillRect/>
                    </a:stretch>
                  </pic:blipFill>
                  <pic:spPr>
                    <a:xfrm>
                      <a:off x="0" y="0"/>
                      <a:ext cx="3600000" cy="2401172"/>
                    </a:xfrm>
                    <a:prstGeom prst="rect">
                      <a:avLst/>
                    </a:prstGeom>
                  </pic:spPr>
                </pic:pic>
              </a:graphicData>
            </a:graphic>
          </wp:inline>
        </w:drawing>
      </w:r>
    </w:p>
    <w:p>
      <w:pPr>
        <w:pStyle w:val="media-caption"/>
        <w:ind w:left="0"/>
      </w:pPr>
      <w:r>
        <w:t xml:space="preserve">The new mapp RoboX and mapp Teach make it faster and easier than ever to get robotic systems configured and ready for operation.</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2" w:type="default"/>
      <w:footerReference xmlns:r="http://schemas.openxmlformats.org/officeDocument/2006/relationships" r:id="N104D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2" Target="header1.xml" Type="http://schemas.openxmlformats.org/officeDocument/2006/relationships/header"/><Relationship Id="N104D6" Target="footer1.xml" Type="http://schemas.openxmlformats.org/officeDocument/2006/relationships/footer"/><Relationship Id="N103C0" Target="media/N103C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9" Target="media/N104A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