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Innovations Day 4.0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Giovedì 25 febbraio 2016 - Parma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Quest'anno Parma vedrà la quarta edizione dell'ormai immancabile ed esclusivo evento italiano dedicato alle innovazioni B&amp;R.</w:t>
      </w:r>
    </w:p>
    <w:p>
      <w:pPr>
        <w:pStyle w:val="par"/>
        <w:ind w:left="0"/>
      </w:pPr>
      <w:r>
        <w:rPr/>
        <w:t xml:space="preserve">L’Innovations Day è l’occasione perfetta per valutare, approfondire e discutere con altri professionisti le tendenze più interessanti in campo automazione industriale.  </w:t>
      </w:r>
    </w:p>
    <w:p>
      <w:pPr>
        <w:pStyle w:val="par"/>
        <w:ind w:left="0"/>
      </w:pPr>
      <w:r>
        <w:rPr/>
        <w:t xml:space="preserve">Durante questa giornata dedicata ai progettisti, le nuove tecnologie dell’automazione saranno esaminate in dettaglio con presentazioni tecniche e dimostrazioni dal vivo, in classe e nell’area espositiva.  </w:t>
      </w:r>
    </w:p>
    <w:p>
      <w:pPr>
        <w:pStyle w:val="par"/>
        <w:ind w:left="0"/>
      </w:pPr>
      <w:r>
        <w:rPr/>
        <w:t xml:space="preserve">L’evento sarà arricchito dalla presenza di partner eccellenti - come DATALOGIC - che, insieme a B&amp;R, stanno sviluppando prodotti e funzioni innovative, volti a un concetto di fabbrica intelligente e di sistemi sempre più interconnessi, sicuri ed efficienti.  I partecipanti potranno comprendere al meglio i trend in atto, anche in un’ottica di Industria 4.0, e di stimarne le ricadute pratiche sul proprio lavoro di ogni giorno.  </w:t>
      </w:r>
    </w:p>
    <w:p>
      <w:pPr>
        <w:pStyle w:val="par"/>
        <w:ind w:left="0"/>
      </w:pPr>
      <w:r>
        <w:rPr/>
        <w:t xml:space="preserve">Nel corso della giornata sarà possibile sperimentare personalmente le nuove funzionalità e i prodotti che permettono di ridurre i costi e i rischi legati alla progettazione. </w:t>
      </w:r>
    </w:p>
    <w:p>
      <w:pPr>
        <w:pStyle w:val="par"/>
        <w:ind w:left="0"/>
      </w:pPr>
      <w:r>
        <w:rPr/>
        <w:t xml:space="preserve">Inoltre, gli esperti B&amp;R mostreranno come calcolare i benefici ottenibili in progettazione e i vantaggi per gli End-User. Non meno importante, offriranno validi strumenti per proporre le nuove tecnologie all’interno della propria azienda, nel modo più efficace.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Breve anticipazione sugli argomenti della giornata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Si parlerà di soluzioni web-based per creare interfacce uomo macchina evolute, di standard come l’OPC UA per garantire interconnessioni naturali a livello di intera fabbrica e di tecnologie per ridurre ulteriormente i tempi di sviluppo.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Tra i protagonisti, le nuove CPU X20, compattissime, cost effective, per tutte le applicazioni; insieme agli ultimi PC, pannelli e Panel PC, con le infinite taglie e funzionalità disponibili per controllare e operare le macchine. 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In ambito motion saranno presentati importanti aggiornamenti sulla famiglia ACOPOS P3, che si allarga, insieme a nuovi tool e funzioni motion, tutti da scoprire. 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Sicurezza integrata e comunicazioni evolute saranno poi il filo conduttore per presentare prodotti e funzioni per una produzione intelligente.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Il fuoco delle presentazioni si sposterà su diagnosi e manutenzione da remoto, con connessioni che piacciono agli IT manager.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Evento a numero chiuso, partecipazione su invito.</w:t>
      </w:r>
    </w:p>
    <w:p/>
    <w:bookmarkStart w:id="9" w:name="_XREFN1006D"/>
    <w:bookmarkStart w:id="10" w:name="_XREFN10072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911392"/>
            <wp:effectExtent b="0" l="0" r="0" t="0"/>
            <wp:docPr id="1" name="Pic_ID_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_ID_IV"/>
                    <pic:cNvPicPr/>
                  </pic:nvPicPr>
                  <pic:blipFill>
                    <a:blip xmlns:r="http://schemas.openxmlformats.org/officeDocument/2006/relationships" cstate="print" r:embed="N1048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9"/>
    <w:bookmarkStart w:id="11" w:name="_XREFN100CF"/>
    <w:bookmarkStart w:id="12" w:name="_XREFN100D4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1045"/>
            <wp:effectExtent b="0" l="0" r="0" t="0"/>
            <wp:docPr id="2" name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2"/>
                    <pic:cNvPicPr/>
                  </pic:nvPicPr>
                  <pic:blipFill>
                    <a:blip xmlns:r="http://schemas.openxmlformats.org/officeDocument/2006/relationships" cstate="print" r:embed="N104C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53C" w:type="default"/>
      <w:footerReference xmlns:r="http://schemas.openxmlformats.org/officeDocument/2006/relationships" r:id="N105D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A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3C" Target="header1.xml" Type="http://schemas.openxmlformats.org/officeDocument/2006/relationships/header"/><Relationship Id="N105D0" Target="footer1.xml" Type="http://schemas.openxmlformats.org/officeDocument/2006/relationships/footer"/><Relationship Id="N10482" Target="media/N10482.jpg" Type="http://schemas.openxmlformats.org/officeDocument/2006/relationships/image"/><Relationship Id="N104C5" Target="media/N104C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A3" Target="media/N105A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