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Control system for mobile automation</w:t>
      </w:r>
    </w:p>
    <w:p>
      <w:pPr>
        <w:pStyle w:val="label-first"/>
        <w:keepNext/>
        <w:ind w:left="0"/>
      </w:pPr>
      <w:r>
        <w:rPr>
          <w:b/>
          <w:sz w:val="20"/>
        </w:rPr>
        <w:t xml:space="preserve">B&amp;R presents new product line at bauma</w:t>
      </w:r>
    </w:p>
    <w:p>
      <w:pPr>
        <w:pStyle w:val="par-first"/>
        <w:ind w:left="0"/>
        <w:jc w:val="left"/>
      </w:pPr>
      <w:r>
        <w:rPr>
          <w:i/>
          <w:i/>
        </w:rPr>
        <w:t xml:space="preserve">At this year's bauma, B&amp;R will be presenting its newly developed modular control and I/O system for mobile automation. Another highlight at Booth 314 in Hall A3 will be B&amp;R's revolutionary mapp technology, which accelerates software development by an average of 67%.</w:t>
      </w:r>
    </w:p>
    <w:p>
      <w:pPr>
        <w:pStyle w:val="par"/>
        <w:ind w:left="0"/>
      </w:pPr>
      <w:r>
        <w:rPr/>
        <w:t xml:space="preserve">mapp technology simplifies development by encapsulating functionality in modular components. Simply drag-and-drop components into the application to create alarm systems, recipe systems and much more – and then configure them with a few clicks. In addition to cutting development time, this also improves both the quality and reusability of the software. mapp technology is fully compatible with the new control and I/O system for mobile automation.</w:t>
      </w:r>
    </w:p>
    <w:p>
      <w:pPr>
        <w:pStyle w:val="label"/>
        <w:keepNext/>
        <w:ind w:left="0"/>
      </w:pPr>
      <w:r>
        <w:rPr>
          <w:b/>
          <w:sz w:val="20"/>
        </w:rPr>
        <w:t xml:space="preserve">Safety included</w:t>
      </w:r>
    </w:p>
    <w:p>
      <w:pPr>
        <w:pStyle w:val="par"/>
        <w:ind w:left="0"/>
      </w:pPr>
      <w:r>
        <w:rPr/>
        <w:t xml:space="preserve">Users will also enjoy unrestricted access to integrated safety technology and comprehensive diagnostics. The open POWERLINK bus protocol makes it possible to transmit all the data via a single backbone network.</w:t>
      </w:r>
    </w:p>
    <w:p/>
    <w:bookmarkStart w:id="5" w:name="_XREFN100C2"/>
    <w:bookmarkStart w:id="6" w:name="_XREFN100C7"/>
    <w:p>
      <w:pPr>
        <w:keepNext/>
        <w:spacing w:after="20" w:before="0"/>
        <w:ind w:left="0"/>
      </w:pPr>
      <w:r>
        <w:drawing>
          <wp:inline xmlns:wp="http://schemas.openxmlformats.org/drawingml/2006/wordprocessingDrawing" distB="0" distL="0" distR="0" distT="0">
            <wp:extent cx="3600000" cy="2700000"/>
            <wp:effectExtent b="0" l="0" r="0" t="0"/>
            <wp:docPr id="1" name="booth 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h BnR"/>
                    <pic:cNvPicPr/>
                  </pic:nvPicPr>
                  <pic:blipFill>
                    <a:blip xmlns:r="http://schemas.openxmlformats.org/officeDocument/2006/relationships" cstate="print" r:embed="N1038B"/>
                    <a:stretch>
                      <a:fillRect/>
                    </a:stretch>
                  </pic:blipFill>
                  <pic:spPr>
                    <a:xfrm>
                      <a:off x="0" y="0"/>
                      <a:ext cx="3600000" cy="2700000"/>
                    </a:xfrm>
                    <a:prstGeom prst="rect">
                      <a:avLst/>
                    </a:prstGeom>
                  </pic:spPr>
                </pic:pic>
              </a:graphicData>
            </a:graphic>
          </wp:inline>
        </w:drawing>
      </w:r>
    </w:p>
    <w:p>
      <w:pPr>
        <w:pStyle w:val="media-caption"/>
        <w:ind w:left="0"/>
      </w:pPr>
      <w:r>
        <w:t xml:space="preserve">At this year's bauma, B&amp;R will be presenting its newly developed modular control and I/O system for mobile automation.</w:t>
      </w:r>
    </w:p>
    <w:bookmarkEnd w:id="6"/>
    <w:bookmarkEnd w:id="5"/>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0C" w:type="default"/>
      <w:footerReference xmlns:r="http://schemas.openxmlformats.org/officeDocument/2006/relationships" r:id="N104A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7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C" Target="header1.xml" Type="http://schemas.openxmlformats.org/officeDocument/2006/relationships/header"/><Relationship Id="N104A0" Target="footer1.xml" Type="http://schemas.openxmlformats.org/officeDocument/2006/relationships/footer"/><Relationship Id="N1038B" Target="media/N1038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73" Target="media/N1047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